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9" w:rsidRPr="0061374C" w:rsidRDefault="0061374C" w:rsidP="0061374C">
      <w:pPr>
        <w:keepNext/>
        <w:spacing w:after="0" w:line="240" w:lineRule="auto"/>
        <w:ind w:left="36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PT" w:eastAsia="fr-FR"/>
        </w:rPr>
      </w:pPr>
      <w:bookmarkStart w:id="0" w:name="_Toc255833963"/>
      <w:bookmarkStart w:id="1" w:name="_Toc256079738"/>
      <w:bookmarkStart w:id="2" w:name="_Toc256786788"/>
      <w:bookmarkStart w:id="3" w:name="_Toc256848898"/>
      <w:bookmarkStart w:id="4" w:name="_Toc257107914"/>
      <w:bookmarkStart w:id="5" w:name="_Toc257467118"/>
      <w:bookmarkStart w:id="6" w:name="_Toc257468058"/>
      <w:bookmarkStart w:id="7" w:name="_Toc303445575"/>
      <w:bookmarkStart w:id="8" w:name="_Toc310349146"/>
      <w:bookmarkStart w:id="9" w:name="_Toc312839619"/>
      <w:bookmarkStart w:id="10" w:name="_Toc312840240"/>
      <w:bookmarkStart w:id="11" w:name="_Toc317090256"/>
      <w:bookmarkStart w:id="12" w:name="_Toc317163957"/>
      <w:bookmarkStart w:id="13" w:name="_Toc320465597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pt-PT" w:eastAsia="fr-FR"/>
        </w:rPr>
        <w:t xml:space="preserve">Anexo B: </w:t>
      </w:r>
      <w:r w:rsidR="00D33A29" w:rsidRPr="0061374C">
        <w:rPr>
          <w:rFonts w:ascii="Bookman Old Style" w:eastAsia="Times New Roman" w:hAnsi="Bookman Old Style" w:cs="Times New Roman"/>
          <w:b/>
          <w:bCs/>
          <w:sz w:val="24"/>
          <w:szCs w:val="24"/>
          <w:lang w:val="pt-PT" w:eastAsia="fr-FR"/>
        </w:rPr>
        <w:t>DEFINIÇÕES.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D33A29" w:rsidRPr="0061374C" w:rsidRDefault="00D33A29" w:rsidP="00D33A2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pt-PT" w:eastAsia="fr-FR"/>
        </w:rPr>
      </w:pPr>
    </w:p>
    <w:p w:rsidR="00D33A29" w:rsidRPr="00D33A29" w:rsidRDefault="00D33A29" w:rsidP="00D33A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No contexto desta Estratégia, os termos que se seguem devem ser entendidos como:</w:t>
      </w:r>
    </w:p>
    <w:p w:rsidR="00D33A29" w:rsidRPr="00D33A29" w:rsidRDefault="00D33A29" w:rsidP="00D33A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hanging="90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bookmarkStart w:id="14" w:name="_Toc255833964"/>
      <w:bookmarkStart w:id="15" w:name="_Toc256079739"/>
      <w:bookmarkStart w:id="16" w:name="_Toc256786789"/>
      <w:bookmarkStart w:id="17" w:name="_Toc256848899"/>
      <w:bookmarkStart w:id="18" w:name="_Toc257107915"/>
      <w:bookmarkStart w:id="19" w:name="_Toc257467119"/>
      <w:bookmarkStart w:id="20" w:name="_Toc257468059"/>
      <w:bookmarkStart w:id="21" w:name="_Toc303445576"/>
      <w:bookmarkStart w:id="22" w:name="_Toc310349147"/>
      <w:bookmarkStart w:id="23" w:name="_Toc312839620"/>
      <w:bookmarkStart w:id="24" w:name="_Toc312840241"/>
      <w:bookmarkStart w:id="25" w:name="_Toc317090257"/>
      <w:bookmarkStart w:id="26" w:name="_Toc317163958"/>
      <w:bookmarkStart w:id="27" w:name="_Toc320465598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DOMÍNIO MARÍTIMO DA ÁFRICA.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D33A29" w:rsidRPr="00D33A29" w:rsidRDefault="00D33A29" w:rsidP="00D33A2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“Domínio Marítimo da África (DMA) ” </w:t>
      </w: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refere-se a todas as áreas e os recursos de, sobre, sob, relativamente, ao lado, ou na fronteira com um mar Africano, oceano ou lagos africanos, intra-costeiras e das vias marítimas internas navegáveis, incluindo todas as actividades africanas ligadas ao sector marítimo, da infra-estrutura, de carga, de navios e de outros meios de transportes. Inclui-se igualmente o ar acima dos mares africanos, oceanos, lagos, intra-costeiras e vias marítimas internas navegáveis ​​e também ao espectro electromagnético dos oceanos também.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hanging="81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PT" w:eastAsia="fr-FR"/>
        </w:rPr>
      </w:pPr>
      <w:bookmarkStart w:id="28" w:name="_Toc256079740"/>
      <w:bookmarkStart w:id="29" w:name="_Toc256786790"/>
      <w:bookmarkStart w:id="30" w:name="_Toc256848900"/>
      <w:bookmarkStart w:id="31" w:name="_Toc257107916"/>
      <w:bookmarkStart w:id="32" w:name="_Toc257467120"/>
      <w:bookmarkStart w:id="33" w:name="_Toc257468060"/>
      <w:bookmarkStart w:id="34" w:name="_Toc303445577"/>
      <w:bookmarkStart w:id="35" w:name="_Toc310349148"/>
      <w:bookmarkStart w:id="36" w:name="_Toc312839621"/>
      <w:bookmarkStart w:id="37" w:name="_Toc312840242"/>
      <w:bookmarkStart w:id="38" w:name="_Toc317090258"/>
      <w:bookmarkStart w:id="39" w:name="_Toc317163959"/>
      <w:bookmarkStart w:id="40" w:name="_Toc320465599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val="pt-PT" w:eastAsia="fr-FR"/>
        </w:rPr>
        <w:t>Vias marítimas Internas.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val="pt-PT" w:eastAsia="fr-FR"/>
        </w:rPr>
        <w:t xml:space="preserve"> 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“Vias marítimas </w:t>
      </w: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Internas" significa quaisquer rios navegáveis, córregos, lagos, marismas, lagoas, abaixo da linha de base de água ou canal que conduz ao tal lugar com instalações de navios para atracar e carregar ou descarregar, incluindo instalações e movimentação de navios de carga, porto, atracadouros, molhes, pontões ou bóias e cais, dentro dos limites das vias marítimas internas, em qualquer lugar num país e inclui qualquer local declarado como sendo uma via marítima interna ao abrigo da legislação nacional.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left="810" w:hanging="9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41" w:name="_Toc256079741"/>
      <w:bookmarkStart w:id="42" w:name="_Toc256786791"/>
      <w:bookmarkStart w:id="43" w:name="_Toc256848901"/>
      <w:bookmarkStart w:id="44" w:name="_Toc257107917"/>
      <w:bookmarkStart w:id="45" w:name="_Toc257467121"/>
      <w:bookmarkStart w:id="46" w:name="_Toc257468061"/>
      <w:bookmarkStart w:id="47" w:name="_Toc303445578"/>
      <w:bookmarkStart w:id="48" w:name="_Toc310349149"/>
      <w:bookmarkStart w:id="49" w:name="_Toc312839622"/>
      <w:bookmarkStart w:id="50" w:name="_Toc312840243"/>
      <w:bookmarkStart w:id="51" w:name="_Toc317090259"/>
      <w:bookmarkStart w:id="52" w:name="_Toc317163960"/>
      <w:bookmarkStart w:id="53" w:name="_Toc320465600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Região.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“Região” significa as regiões da UA tal como estabelecidas pela Resolução CM/Res.464 (XXVI) do Conselho dos Ministros da Organização da Unidade Africana sobre a divisão da África em cinco (5) regiões, nomeadamente: África do Norte, Ocidental, Central, Oriental e Austral. 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hanging="81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54" w:name="_Toc255833965"/>
      <w:bookmarkStart w:id="55" w:name="_Toc256079742"/>
      <w:bookmarkStart w:id="56" w:name="_Toc256786792"/>
      <w:bookmarkStart w:id="57" w:name="_Toc256848902"/>
      <w:bookmarkStart w:id="58" w:name="_Toc257107918"/>
      <w:bookmarkStart w:id="59" w:name="_Toc257467122"/>
      <w:bookmarkStart w:id="60" w:name="_Toc257468062"/>
      <w:bookmarkStart w:id="61" w:name="_Toc303445579"/>
      <w:bookmarkStart w:id="62" w:name="_Toc310349150"/>
      <w:bookmarkStart w:id="63" w:name="_Toc312839623"/>
      <w:bookmarkStart w:id="64" w:name="_Toc312840244"/>
      <w:bookmarkStart w:id="65" w:name="_Toc317090260"/>
      <w:bookmarkStart w:id="66" w:name="_Toc317163961"/>
      <w:bookmarkStart w:id="67" w:name="_Toc320465601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Segurança.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Uma abordagem centrada no mar para "Segurança" abrange todas as noções tradicionais, Estatais, regionais e continentais para a protecção dos Estados e regiões do continente. Esta protecção pode ser garantida por meios militares e não militares. A ênfase é colocada na segurança humana. A segurança humana abarca direitos humanos, direitos económicos, o direito de participação popular no processo de tomada de decisões e outras questões de desenvolvimento. O desafio, portanto, será a forma de aplicação e de acesso, recursos e necessidades básicas da vida, direito à protecção contra ameaças como a fome e a pobreza, instalações de educação e saúde, a protecção contra a marginalização com base no género, e de vigilância contra a degradação ecológica e ambiental. No âmbito desta estratégia AIM, o foco estará sobre as principais questões de segurança, protecção, prosperidade e viabilidade marítimas.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hanging="81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68" w:name="_Toc255833966"/>
      <w:bookmarkStart w:id="69" w:name="_Toc256079743"/>
      <w:bookmarkStart w:id="70" w:name="_Toc256786793"/>
      <w:bookmarkStart w:id="71" w:name="_Toc256848903"/>
      <w:bookmarkStart w:id="72" w:name="_Toc257107919"/>
      <w:bookmarkStart w:id="73" w:name="_Toc257467123"/>
      <w:bookmarkStart w:id="74" w:name="_Toc257468063"/>
      <w:bookmarkStart w:id="75" w:name="_Toc303445580"/>
      <w:bookmarkStart w:id="76" w:name="_Toc310349151"/>
      <w:bookmarkStart w:id="77" w:name="_Toc312839624"/>
      <w:bookmarkStart w:id="78" w:name="_Toc312840245"/>
      <w:bookmarkStart w:id="79" w:name="_Toc317090261"/>
      <w:bookmarkStart w:id="80" w:name="_Toc317163962"/>
      <w:bookmarkStart w:id="81" w:name="_Toc320465602"/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Segurança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Marítima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O conceito de "Segurança Marítima" centrar-se-á na melhoria do desenvolvimento socioeconómico sustentado, na condição que reflecte a capacidade das entidades públicas e privadas para realização de actividades legitimadas, como exercício de direitos soberanos e jurisdicionais, extracção de recursos, comércio, transporte e turismo, livre de ameaças ou prejuízos resultantes de actos ilegais ou agressão, para uma África integrada e próspera.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left="810" w:hanging="9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bookmarkStart w:id="82" w:name="_Toc255833967"/>
      <w:bookmarkStart w:id="83" w:name="_Toc256079744"/>
      <w:bookmarkStart w:id="84" w:name="_Toc256786794"/>
      <w:bookmarkStart w:id="85" w:name="_Toc256848904"/>
      <w:bookmarkStart w:id="86" w:name="_Toc257107920"/>
      <w:bookmarkStart w:id="87" w:name="_Toc257467124"/>
      <w:bookmarkStart w:id="88" w:name="_Toc257468064"/>
      <w:bookmarkStart w:id="89" w:name="_Toc303445581"/>
      <w:bookmarkStart w:id="90" w:name="_Toc310349152"/>
      <w:bookmarkStart w:id="91" w:name="_Toc312839625"/>
      <w:bookmarkStart w:id="92" w:name="_Toc312840246"/>
      <w:bookmarkStart w:id="93" w:name="_Toc317090262"/>
      <w:bookmarkStart w:id="94" w:name="_Toc317163963"/>
      <w:bookmarkStart w:id="95" w:name="_Toc320465603"/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Protecção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Marítima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.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O conceito de "Protecção Marítima" centrar-se-á no reforço do desenvolvimento socioeconómico sustentado, na condição que reflecte a capacidade das entidades públicas e privadas para realização de actividades legitimadas, como a protecção territorial, a extracção de recursos, transporte, comércio e turismo, livre de ameaças ou prejuízos decorrentes de acidentes, negligência, desastres naturais e provocados pelo homem, para uma África integrada e próspera.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left="810" w:hanging="9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96" w:name="_Toc255833968"/>
      <w:bookmarkStart w:id="97" w:name="_Toc256079745"/>
      <w:bookmarkStart w:id="98" w:name="_Toc256786795"/>
      <w:bookmarkStart w:id="99" w:name="_Toc256848905"/>
      <w:bookmarkStart w:id="100" w:name="_Toc257107921"/>
      <w:bookmarkStart w:id="101" w:name="_Toc257467125"/>
      <w:bookmarkStart w:id="102" w:name="_Toc257468065"/>
      <w:bookmarkStart w:id="103" w:name="_Toc303445582"/>
      <w:bookmarkStart w:id="104" w:name="_Toc310349153"/>
      <w:bookmarkStart w:id="105" w:name="_Toc312839626"/>
      <w:bookmarkStart w:id="106" w:name="_Toc312840247"/>
      <w:bookmarkStart w:id="107" w:name="_Toc317090263"/>
      <w:bookmarkStart w:id="108" w:name="_Toc317163964"/>
      <w:bookmarkStart w:id="109" w:name="_Toc320465604"/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Prosperidade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Marítima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"Prosperidade Marítima" é a condição que descreve o real valor acrescentado pelas actividades marítimas medido por recursos colhidos, riqueza obtida, investimento e pela dignidade dos cidadãos africanos. Prosperidade Marítima implicará a cooperação e coordenação em todos os níveis regionais para garantir o seu usufruto pelos povos africanos.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left="900" w:hanging="9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110" w:name="_Toc255833969"/>
      <w:bookmarkStart w:id="111" w:name="_Toc256079746"/>
      <w:bookmarkStart w:id="112" w:name="_Toc256786796"/>
      <w:bookmarkStart w:id="113" w:name="_Toc256848906"/>
      <w:bookmarkStart w:id="114" w:name="_Toc257107922"/>
      <w:bookmarkStart w:id="115" w:name="_Toc257467126"/>
      <w:bookmarkStart w:id="116" w:name="_Toc257468066"/>
      <w:bookmarkStart w:id="117" w:name="_Toc303445583"/>
      <w:bookmarkStart w:id="118" w:name="_Toc310349154"/>
      <w:bookmarkStart w:id="119" w:name="_Toc312839627"/>
      <w:bookmarkStart w:id="120" w:name="_Toc312840248"/>
      <w:bookmarkStart w:id="121" w:name="_Toc317090264"/>
      <w:bookmarkStart w:id="122" w:name="_Toc317163965"/>
      <w:bookmarkStart w:id="123" w:name="_Toc320465605"/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Sustentabilidade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Marítima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“</w:t>
      </w: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Sustentabilidade Marítima" é a condição que descreve a capacidade de desenvolver actividades marítimas ao longo do tempo em termos de desenvolvimento e manutenção de infra-estrutura, disponibilidade de equipamentos, e equilíbrio de recursos renováveis ​​para uma África integrada e próspera.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keepNext/>
        <w:numPr>
          <w:ilvl w:val="0"/>
          <w:numId w:val="2"/>
        </w:numPr>
        <w:spacing w:after="0" w:line="240" w:lineRule="auto"/>
        <w:ind w:left="900" w:hanging="27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124" w:name="_Toc255833970"/>
      <w:bookmarkStart w:id="125" w:name="_Toc256079747"/>
      <w:bookmarkStart w:id="126" w:name="_Toc256786797"/>
      <w:bookmarkStart w:id="127" w:name="_Toc256848907"/>
      <w:bookmarkStart w:id="128" w:name="_Toc257107923"/>
      <w:bookmarkStart w:id="129" w:name="_Toc257467127"/>
      <w:bookmarkStart w:id="130" w:name="_Toc257468067"/>
      <w:bookmarkStart w:id="131" w:name="_Toc303445584"/>
      <w:bookmarkStart w:id="132" w:name="_Toc310349155"/>
      <w:bookmarkStart w:id="133" w:name="_Toc312839628"/>
      <w:bookmarkStart w:id="134" w:name="_Toc312840249"/>
      <w:bookmarkStart w:id="135" w:name="_Toc317090265"/>
      <w:bookmarkStart w:id="136" w:name="_Toc317163966"/>
      <w:bookmarkStart w:id="137" w:name="_Toc320465606"/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Viabilidade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Marítima</w:t>
      </w:r>
      <w:proofErr w:type="spell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“</w:t>
      </w: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>Viabilidade Marítima" é o valor composto das quatro anteriores condições marítimas interligadas (Segurança, Protecção, Prosperidade e Sustentabilidade). Este valor será utiliz</w:t>
      </w:r>
      <w:r w:rsidR="0061374C">
        <w:rPr>
          <w:rFonts w:ascii="Times New Roman" w:eastAsia="Times New Roman" w:hAnsi="Times New Roman" w:cs="Times New Roman"/>
          <w:sz w:val="24"/>
          <w:szCs w:val="24"/>
          <w:lang w:val="pt-PT"/>
        </w:rPr>
        <w:t>ado pelas partes interessadas do</w:t>
      </w: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DMA para completar as avaliações, realizar SWOT</w:t>
      </w:r>
      <w:r w:rsidR="0061374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</w:t>
      </w:r>
      <w:r w:rsidR="0061374C" w:rsidRPr="00FA76B9">
        <w:rPr>
          <w:spacing w:val="1"/>
          <w:lang w:val="pt-PT"/>
        </w:rPr>
        <w:t>Forças, Fraquezas, Oportunidades e Ameaças</w:t>
      </w:r>
      <w:r w:rsidR="0061374C">
        <w:rPr>
          <w:spacing w:val="1"/>
          <w:lang w:val="pt-PT"/>
        </w:rPr>
        <w:t>)</w:t>
      </w: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análise de lacunas, e executar programas de reforce de capacidades para reduzir todas as ameaças, vulnerabilidades e prejuízos, e para conseguir melhores benefícios e dignidade, para uma África integrada e próspera.</w:t>
      </w:r>
    </w:p>
    <w:p w:rsidR="00D33A29" w:rsidRPr="00D33A29" w:rsidRDefault="00D33A29" w:rsidP="00D33A29">
      <w:pPr>
        <w:keepNext/>
        <w:spacing w:after="0" w:line="240" w:lineRule="auto"/>
        <w:ind w:left="36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PT"/>
        </w:rPr>
      </w:pPr>
    </w:p>
    <w:p w:rsidR="00D33A29" w:rsidRPr="00D33A29" w:rsidRDefault="00D33A29" w:rsidP="00D33A29">
      <w:pPr>
        <w:keepNext/>
        <w:spacing w:after="0" w:line="240" w:lineRule="auto"/>
        <w:ind w:left="360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PT"/>
        </w:rPr>
      </w:pPr>
      <w:bookmarkStart w:id="138" w:name="_Toc320465607"/>
      <w:proofErr w:type="gramStart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val="pt-PT"/>
        </w:rPr>
        <w:t>x</w:t>
      </w:r>
      <w:proofErr w:type="gramEnd"/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val="pt-PT"/>
        </w:rPr>
        <w:t>.</w:t>
      </w:r>
      <w:r w:rsidRPr="00D33A29">
        <w:rPr>
          <w:rFonts w:ascii="Bookman Old Style" w:eastAsia="Times New Roman" w:hAnsi="Bookman Old Style" w:cs="Times New Roman"/>
          <w:b/>
          <w:bCs/>
          <w:sz w:val="24"/>
          <w:szCs w:val="24"/>
          <w:lang w:val="pt-PT"/>
        </w:rPr>
        <w:tab/>
      </w:r>
      <w:bookmarkEnd w:id="138"/>
      <w:r w:rsidRPr="00D33A29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  <w:lang w:val="pt-PT"/>
        </w:rPr>
        <w:t>Zona Marítima Exclusiva Convencionada de África</w:t>
      </w: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Sem prejuízo de zonas marítimas, conforme estabelecido pela CNUDM para cada Nação, a Zona Marítima Exclusiva Convencionada de África (CEMZA) define uma zona marítima comum de todos os Estados Membros da UA. Isto para que seja uma zona marítima estável, </w:t>
      </w:r>
      <w:r w:rsidRPr="00D33A29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segura e limpa com vista ao desenvolvimento e implementação de políticas comuns dos assuntos marítimos africanos para a gestão dos oceanos, mares e recursos fluviais africanos, bem como para os seus benefícios estratégicos multifacetados. A CEMZA concederá a África enormes benefícios transversais geoestratégicos, económicos, políticos, sociais e seguros, bem como enfraquecerá os riscos de todas as ameaças transnacionais, incluindo o crime organizado e o terrorismo em África.</w:t>
      </w:r>
      <w:bookmarkStart w:id="139" w:name="_GoBack"/>
      <w:bookmarkEnd w:id="139"/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D33A29" w:rsidRPr="00D33A29" w:rsidRDefault="00D33A29" w:rsidP="00D33A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BB6E4E" w:rsidRPr="00D33A29" w:rsidRDefault="00BB6E4E">
      <w:pPr>
        <w:rPr>
          <w:lang w:val="pt-PT"/>
        </w:rPr>
      </w:pPr>
    </w:p>
    <w:sectPr w:rsidR="00BB6E4E" w:rsidRPr="00D33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BD8" w:rsidRDefault="00445BD8" w:rsidP="00D33A29">
      <w:pPr>
        <w:spacing w:after="0" w:line="240" w:lineRule="auto"/>
      </w:pPr>
      <w:r>
        <w:separator/>
      </w:r>
    </w:p>
  </w:endnote>
  <w:endnote w:type="continuationSeparator" w:id="0">
    <w:p w:rsidR="00445BD8" w:rsidRDefault="00445BD8" w:rsidP="00D3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D8" w:rsidRDefault="00445BD8" w:rsidP="00D33A29">
      <w:pPr>
        <w:spacing w:after="0" w:line="240" w:lineRule="auto"/>
      </w:pPr>
      <w:r>
        <w:separator/>
      </w:r>
    </w:p>
  </w:footnote>
  <w:footnote w:type="continuationSeparator" w:id="0">
    <w:p w:rsidR="00445BD8" w:rsidRDefault="00445BD8" w:rsidP="00D3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528"/>
    <w:multiLevelType w:val="hybridMultilevel"/>
    <w:tmpl w:val="BCEC4E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BF46A3"/>
    <w:multiLevelType w:val="hybridMultilevel"/>
    <w:tmpl w:val="2AB01A24"/>
    <w:lvl w:ilvl="0" w:tplc="0409001B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54DC9"/>
    <w:multiLevelType w:val="hybridMultilevel"/>
    <w:tmpl w:val="8DDCD4BE"/>
    <w:lvl w:ilvl="0" w:tplc="0409000F">
      <w:start w:val="1"/>
      <w:numFmt w:val="upperRoman"/>
      <w:lvlText w:val="%1."/>
      <w:lvlJc w:val="right"/>
      <w:pPr>
        <w:ind w:left="360" w:hanging="360"/>
      </w:pPr>
    </w:lvl>
    <w:lvl w:ilvl="1" w:tplc="04090017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29"/>
    <w:rsid w:val="00445BD8"/>
    <w:rsid w:val="00590A96"/>
    <w:rsid w:val="0061374C"/>
    <w:rsid w:val="00BB6E4E"/>
    <w:rsid w:val="00D3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33A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A29"/>
    <w:rPr>
      <w:sz w:val="20"/>
      <w:szCs w:val="20"/>
    </w:rPr>
  </w:style>
  <w:style w:type="character" w:styleId="FootnoteReference">
    <w:name w:val="footnote reference"/>
    <w:unhideWhenUsed/>
    <w:rsid w:val="00D33A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33A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A29"/>
    <w:rPr>
      <w:sz w:val="20"/>
      <w:szCs w:val="20"/>
    </w:rPr>
  </w:style>
  <w:style w:type="character" w:styleId="FootnoteReference">
    <w:name w:val="footnote reference"/>
    <w:unhideWhenUsed/>
    <w:rsid w:val="00D33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Shimbidi</dc:creator>
  <cp:lastModifiedBy>Emmanuel Shimbidi</cp:lastModifiedBy>
  <cp:revision>2</cp:revision>
  <dcterms:created xsi:type="dcterms:W3CDTF">2012-11-12T08:22:00Z</dcterms:created>
  <dcterms:modified xsi:type="dcterms:W3CDTF">2012-11-12T09:40:00Z</dcterms:modified>
</cp:coreProperties>
</file>