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9030C" w14:textId="12C655B5" w:rsidR="00101C73" w:rsidRDefault="008C080B" w:rsidP="00101C73">
      <w:pPr>
        <w:rPr>
          <w:rFonts w:cs="Calibri"/>
          <w:b/>
          <w:color w:val="31849B"/>
          <w:sz w:val="36"/>
          <w:szCs w:val="36"/>
        </w:rPr>
      </w:pPr>
      <w:r>
        <w:rPr>
          <w:noProof/>
        </w:rPr>
        <w:drawing>
          <wp:anchor distT="0" distB="0" distL="114300" distR="114300" simplePos="0" relativeHeight="251661312" behindDoc="1" locked="0" layoutInCell="1" allowOverlap="1" wp14:anchorId="412D8E52" wp14:editId="46A7C12C">
            <wp:simplePos x="0" y="0"/>
            <wp:positionH relativeFrom="column">
              <wp:posOffset>28575</wp:posOffset>
            </wp:positionH>
            <wp:positionV relativeFrom="paragraph">
              <wp:posOffset>-19050</wp:posOffset>
            </wp:positionV>
            <wp:extent cx="1733550" cy="527685"/>
            <wp:effectExtent l="0" t="0" r="0" b="5715"/>
            <wp:wrapTight wrapText="bothSides">
              <wp:wrapPolygon edited="0">
                <wp:start x="0" y="0"/>
                <wp:lineTo x="0" y="21054"/>
                <wp:lineTo x="21363" y="21054"/>
                <wp:lineTo x="21363" y="0"/>
                <wp:lineTo x="0" y="0"/>
              </wp:wrapPolygon>
            </wp:wrapTight>
            <wp:docPr id="11" name="Picture 5" descr="usai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aid-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39E46" w14:textId="77777777" w:rsidR="008C080B" w:rsidRDefault="008C080B" w:rsidP="00101C73">
      <w:pPr>
        <w:rPr>
          <w:rFonts w:ascii="Gill Sans MT" w:hAnsi="Gill Sans MT" w:cs="Arial"/>
          <w:b/>
          <w:color w:val="31849B"/>
          <w:sz w:val="36"/>
          <w:szCs w:val="36"/>
        </w:rPr>
      </w:pPr>
    </w:p>
    <w:p w14:paraId="761FBB33" w14:textId="77777777" w:rsidR="008C080B" w:rsidRDefault="008C080B" w:rsidP="00101C73">
      <w:pPr>
        <w:rPr>
          <w:rFonts w:ascii="Gill Sans MT" w:hAnsi="Gill Sans MT" w:cs="Arial"/>
          <w:b/>
          <w:color w:val="31849B"/>
          <w:sz w:val="36"/>
          <w:szCs w:val="36"/>
        </w:rPr>
      </w:pPr>
    </w:p>
    <w:p w14:paraId="0666DF5F" w14:textId="77777777" w:rsidR="00101C73" w:rsidRPr="008C080B" w:rsidRDefault="00101C73" w:rsidP="00101C73">
      <w:pPr>
        <w:rPr>
          <w:rFonts w:ascii="Gill Sans MT" w:hAnsi="Gill Sans MT" w:cs="Arial"/>
          <w:b/>
          <w:color w:val="31849B"/>
          <w:sz w:val="36"/>
        </w:rPr>
      </w:pPr>
      <w:r w:rsidRPr="008C080B">
        <w:rPr>
          <w:rFonts w:ascii="Gill Sans MT" w:hAnsi="Gill Sans MT" w:cs="Arial"/>
          <w:b/>
          <w:color w:val="31849B"/>
          <w:sz w:val="36"/>
          <w:szCs w:val="36"/>
        </w:rPr>
        <w:t>USAID Contribution</w:t>
      </w:r>
      <w:r w:rsidRPr="008C080B">
        <w:rPr>
          <w:rFonts w:ascii="Gill Sans MT" w:hAnsi="Gill Sans MT" w:cs="Arial"/>
          <w:b/>
          <w:color w:val="31849B"/>
          <w:sz w:val="36"/>
        </w:rPr>
        <w:t xml:space="preserve"> to </w:t>
      </w:r>
      <w:r w:rsidRPr="008C080B">
        <w:rPr>
          <w:rFonts w:ascii="Gill Sans MT" w:hAnsi="Gill Sans MT" w:cs="Arial"/>
          <w:b/>
          <w:color w:val="31849B"/>
          <w:sz w:val="36"/>
          <w:szCs w:val="36"/>
        </w:rPr>
        <w:t>Advancing</w:t>
      </w:r>
      <w:r w:rsidRPr="008C080B">
        <w:rPr>
          <w:rFonts w:ascii="Gill Sans MT" w:hAnsi="Gill Sans MT" w:cs="Arial"/>
          <w:b/>
          <w:color w:val="31849B"/>
          <w:sz w:val="36"/>
        </w:rPr>
        <w:t xml:space="preserve"> Policy </w:t>
      </w:r>
      <w:r w:rsidRPr="008C080B">
        <w:rPr>
          <w:rFonts w:ascii="Gill Sans MT" w:hAnsi="Gill Sans MT" w:cs="Arial"/>
          <w:b/>
          <w:color w:val="31849B"/>
          <w:sz w:val="36"/>
          <w:szCs w:val="36"/>
        </w:rPr>
        <w:t>Partnerships</w:t>
      </w:r>
    </w:p>
    <w:p w14:paraId="3393E44D" w14:textId="77777777" w:rsidR="00101C73" w:rsidRPr="008C080B" w:rsidRDefault="00101C73" w:rsidP="00101C73">
      <w:pPr>
        <w:rPr>
          <w:rFonts w:ascii="Gill Sans MT" w:eastAsia="Times New Roman" w:hAnsi="Gill Sans MT"/>
          <w:b/>
          <w:caps/>
          <w:sz w:val="24"/>
          <w:szCs w:val="24"/>
        </w:rPr>
      </w:pPr>
    </w:p>
    <w:p w14:paraId="4BAA3EEE" w14:textId="77777777" w:rsidR="00101C73" w:rsidRPr="008C080B" w:rsidRDefault="00101C73" w:rsidP="00101C73">
      <w:pPr>
        <w:rPr>
          <w:rFonts w:ascii="Gill Sans MT" w:eastAsia="Times New Roman" w:hAnsi="Gill Sans MT"/>
          <w:b/>
          <w:caps/>
          <w:sz w:val="24"/>
          <w:szCs w:val="24"/>
        </w:rPr>
      </w:pPr>
      <w:r w:rsidRPr="008C080B">
        <w:rPr>
          <w:rFonts w:ascii="Gill Sans MT" w:eastAsia="Times New Roman" w:hAnsi="Gill Sans MT"/>
          <w:b/>
          <w:caps/>
          <w:sz w:val="24"/>
          <w:szCs w:val="24"/>
        </w:rPr>
        <w:t>Drafted: USAID</w:t>
      </w:r>
    </w:p>
    <w:p w14:paraId="5D3D0BF2" w14:textId="77777777" w:rsidR="00101C73" w:rsidRPr="008C080B" w:rsidRDefault="00101C73" w:rsidP="00101C73">
      <w:pPr>
        <w:pStyle w:val="Default"/>
        <w:rPr>
          <w:rFonts w:ascii="Gill Sans MT" w:hAnsi="Gill Sans MT" w:cs="Times New Roman"/>
          <w:color w:val="auto"/>
          <w:sz w:val="22"/>
          <w:szCs w:val="22"/>
        </w:rPr>
      </w:pPr>
      <w:r w:rsidRPr="008C080B">
        <w:rPr>
          <w:rFonts w:ascii="Gill Sans MT" w:hAnsi="Gill Sans MT" w:cs="Times New Roman"/>
          <w:color w:val="auto"/>
          <w:sz w:val="22"/>
          <w:szCs w:val="22"/>
        </w:rPr>
        <w:t>May 2013</w:t>
      </w:r>
    </w:p>
    <w:p w14:paraId="0A003ACE" w14:textId="77777777" w:rsidR="00101C73" w:rsidRDefault="00101C73" w:rsidP="00101C73">
      <w:pPr>
        <w:pStyle w:val="Default"/>
        <w:rPr>
          <w:rFonts w:cs="Times New Roman"/>
          <w:color w:val="auto"/>
          <w:sz w:val="22"/>
          <w:szCs w:val="22"/>
        </w:rPr>
      </w:pPr>
    </w:p>
    <w:p w14:paraId="45DC95ED" w14:textId="77777777" w:rsidR="00101C73" w:rsidRPr="008C080B" w:rsidRDefault="00101C73" w:rsidP="00101C73">
      <w:pPr>
        <w:pStyle w:val="Heading1"/>
        <w:spacing w:before="0"/>
        <w:rPr>
          <w:rFonts w:asciiTheme="minorHAnsi" w:hAnsiTheme="minorHAnsi" w:cstheme="minorHAnsi"/>
        </w:rPr>
      </w:pPr>
      <w:bookmarkStart w:id="0" w:name="_Toc344458846"/>
      <w:bookmarkStart w:id="1" w:name="_Toc349223025"/>
      <w:bookmarkStart w:id="2" w:name="_Toc354751308"/>
      <w:r w:rsidRPr="008C080B">
        <w:rPr>
          <w:rFonts w:asciiTheme="minorHAnsi" w:hAnsiTheme="minorHAnsi" w:cstheme="minorHAnsi"/>
        </w:rPr>
        <w:t>The Purpose</w:t>
      </w:r>
      <w:bookmarkEnd w:id="0"/>
      <w:bookmarkEnd w:id="1"/>
      <w:bookmarkEnd w:id="2"/>
    </w:p>
    <w:p w14:paraId="3A707B91" w14:textId="38AE5381" w:rsidR="00101C73" w:rsidRPr="008C080B" w:rsidRDefault="00101C73" w:rsidP="00101C73">
      <w:pPr>
        <w:spacing w:line="276" w:lineRule="auto"/>
        <w:rPr>
          <w:rFonts w:cstheme="minorHAnsi"/>
          <w:color w:val="000000"/>
        </w:rPr>
      </w:pPr>
      <w:r w:rsidRPr="008C080B">
        <w:rPr>
          <w:rFonts w:cstheme="minorHAnsi"/>
        </w:rPr>
        <w:t xml:space="preserve">The U. S. Government Feed the Future Presidential Initiative was developed to work with partner countries, development organizations and agencies, and other stakeholders to tackle global food security challenges.  </w:t>
      </w:r>
      <w:r w:rsidRPr="008C080B">
        <w:rPr>
          <w:rFonts w:cstheme="minorHAnsi"/>
          <w:color w:val="000000"/>
        </w:rPr>
        <w:t>The USAID contribution to advancing policy partnerships was developed to align effective collaboration between U.S. Government agencies and partner countries and regional/global institutions to reform policies and improve policymaking capacity important for reducing hunger and poverty. Using country policy priorities and evidence-based research, the USAID contribution will work with countries to identify which policy priorities are likely to have the greatest impact on reducing poverty and hunger and which ones partner countries can support.   It also sets out a framework for USG interagency support based on the principles of good governance, efficient markets, and attention to rural livelihoods, risks to vulnerable people, better coordination, and greater accountability.  Finally, it lays out a commitment to achieving food security benefits through partnerships with countries, the private sector and civil society.</w:t>
      </w:r>
    </w:p>
    <w:p w14:paraId="084134AF" w14:textId="77777777" w:rsidR="00101C73" w:rsidRPr="008C080B" w:rsidRDefault="00101C73" w:rsidP="00101C73">
      <w:pPr>
        <w:pStyle w:val="Default"/>
        <w:rPr>
          <w:rFonts w:asciiTheme="minorHAnsi" w:hAnsiTheme="minorHAnsi" w:cstheme="minorHAnsi"/>
          <w:color w:val="auto"/>
          <w:sz w:val="22"/>
          <w:szCs w:val="22"/>
        </w:rPr>
      </w:pPr>
    </w:p>
    <w:p w14:paraId="488ECA3B" w14:textId="77777777" w:rsidR="00101C73" w:rsidRPr="008C080B" w:rsidRDefault="00101C73" w:rsidP="00101C73">
      <w:pPr>
        <w:pStyle w:val="Heading1"/>
        <w:spacing w:before="0"/>
        <w:rPr>
          <w:rFonts w:asciiTheme="minorHAnsi" w:hAnsiTheme="minorHAnsi" w:cstheme="minorHAnsi"/>
        </w:rPr>
      </w:pPr>
      <w:r w:rsidRPr="008C080B">
        <w:rPr>
          <w:rFonts w:asciiTheme="minorHAnsi" w:hAnsiTheme="minorHAnsi" w:cstheme="minorHAnsi"/>
        </w:rPr>
        <w:t>Background</w:t>
      </w:r>
    </w:p>
    <w:p w14:paraId="28F11D2A" w14:textId="77777777" w:rsidR="00101C73" w:rsidRPr="008C080B" w:rsidRDefault="00101C73" w:rsidP="00101C73">
      <w:pPr>
        <w:pStyle w:val="NormalWeb"/>
        <w:spacing w:line="276" w:lineRule="auto"/>
        <w:rPr>
          <w:rFonts w:asciiTheme="minorHAnsi" w:hAnsiTheme="minorHAnsi" w:cstheme="minorHAnsi"/>
          <w:sz w:val="22"/>
        </w:rPr>
      </w:pPr>
      <w:r w:rsidRPr="008C080B">
        <w:rPr>
          <w:rFonts w:asciiTheme="minorHAnsi" w:hAnsiTheme="minorHAnsi" w:cstheme="minorHAnsi"/>
          <w:sz w:val="22"/>
        </w:rPr>
        <w:t xml:space="preserve">Feed the Future is a response to the </w:t>
      </w:r>
      <w:r w:rsidRPr="008C080B">
        <w:rPr>
          <w:rFonts w:asciiTheme="minorHAnsi" w:hAnsiTheme="minorHAnsi" w:cstheme="minorHAnsi"/>
          <w:color w:val="000000"/>
        </w:rPr>
        <w:t xml:space="preserve">soaring food prices in 2008 that plunged over 100 million people into extreme poverty. </w:t>
      </w:r>
      <w:r w:rsidRPr="008C080B">
        <w:rPr>
          <w:rFonts w:asciiTheme="minorHAnsi" w:hAnsiTheme="minorHAnsi" w:cstheme="minorHAnsi"/>
          <w:sz w:val="22"/>
        </w:rPr>
        <w:t>It supports country-driven approaches to address the root causes of hunger and poverty, and forge long-term solutions to chronic food insecurity and under-nutrition. The USG initiative, led by the United States Agency for International Development, draws on the resources and expertise of agencies across the U.S. Government to help countries transform their agriculture sectors.</w:t>
      </w:r>
    </w:p>
    <w:p w14:paraId="44F8A508" w14:textId="77777777" w:rsidR="00101C73" w:rsidRPr="008C080B" w:rsidRDefault="00101C73" w:rsidP="00101C73">
      <w:pPr>
        <w:pStyle w:val="NormalWeb"/>
        <w:spacing w:line="276" w:lineRule="auto"/>
        <w:rPr>
          <w:rFonts w:asciiTheme="minorHAnsi" w:hAnsiTheme="minorHAnsi" w:cstheme="minorHAnsi"/>
          <w:color w:val="000000"/>
          <w:sz w:val="22"/>
        </w:rPr>
      </w:pPr>
      <w:r w:rsidRPr="008C080B">
        <w:rPr>
          <w:rFonts w:asciiTheme="minorHAnsi" w:hAnsiTheme="minorHAnsi" w:cstheme="minorHAnsi"/>
          <w:sz w:val="22"/>
        </w:rPr>
        <w:t xml:space="preserve">Feed the Future is implemented at the country level primarily through a Multi-Year Strategy that lays out priorities and parameters for U. S. Government program investments to improve smallholder agriculture and nutrition.  </w:t>
      </w:r>
      <w:r w:rsidRPr="008C080B">
        <w:rPr>
          <w:rFonts w:asciiTheme="minorHAnsi" w:hAnsiTheme="minorHAnsi" w:cstheme="minorHAnsi"/>
          <w:color w:val="000000"/>
          <w:sz w:val="22"/>
        </w:rPr>
        <w:t>Improving food security and ending hunger for millions of people around the world requires changes on a number of fronts.  Ideally, partner governments in agriculturally-based economies will improve their agricultural policies and reinvest in the sector;  the private sector will increase its investments in the agriculture sector when the policy environment is attractive to them; civil society will organize itself to advocate for its needs; and they all will hold each other accountable.</w:t>
      </w:r>
    </w:p>
    <w:p w14:paraId="11DFF668" w14:textId="77777777" w:rsidR="00101C73" w:rsidRPr="008C080B" w:rsidRDefault="00101C73" w:rsidP="00101C73">
      <w:pPr>
        <w:pStyle w:val="NormalWeb"/>
        <w:spacing w:line="276" w:lineRule="auto"/>
        <w:rPr>
          <w:rFonts w:asciiTheme="minorHAnsi" w:hAnsiTheme="minorHAnsi" w:cstheme="minorHAnsi"/>
          <w:sz w:val="22"/>
        </w:rPr>
      </w:pPr>
      <w:r w:rsidRPr="008C080B">
        <w:rPr>
          <w:rFonts w:asciiTheme="minorHAnsi" w:hAnsiTheme="minorHAnsi" w:cstheme="minorHAnsi"/>
          <w:color w:val="000000"/>
          <w:sz w:val="22"/>
        </w:rPr>
        <w:t>The initial Feed the Future program sponsored $1 billion in investments to improve value chains, connect farmers to market, and strengthen access to technology through focused research and development.  In 2011, the USG chose to give greater priority to policy issues in order to leverage greater investments in Country Investment Plans and value chain and research projects</w:t>
      </w:r>
      <w:r w:rsidRPr="008C080B">
        <w:rPr>
          <w:rFonts w:asciiTheme="minorHAnsi" w:hAnsiTheme="minorHAnsi" w:cstheme="minorHAnsi"/>
          <w:sz w:val="22"/>
        </w:rPr>
        <w:t xml:space="preserve">. USAID </w:t>
      </w:r>
      <w:r w:rsidRPr="008C080B">
        <w:rPr>
          <w:rFonts w:asciiTheme="minorHAnsi" w:hAnsiTheme="minorHAnsi" w:cstheme="minorHAnsi"/>
          <w:sz w:val="22"/>
        </w:rPr>
        <w:lastRenderedPageBreak/>
        <w:t xml:space="preserve">Missions, US Embassies, and other USG agencies in 19 Feed the Future countries and in five regional programs worked with country counterparts to identify the most important policy changes partner countries could make to maximize the food security impact of programs and to unleash greater private investment.  </w:t>
      </w:r>
    </w:p>
    <w:p w14:paraId="57FCA6BB" w14:textId="77777777" w:rsidR="00101C73" w:rsidRPr="008C080B" w:rsidRDefault="00101C73" w:rsidP="00101C73">
      <w:pPr>
        <w:pStyle w:val="NormalWeb"/>
        <w:spacing w:line="276" w:lineRule="auto"/>
        <w:rPr>
          <w:rFonts w:asciiTheme="minorHAnsi" w:hAnsiTheme="minorHAnsi" w:cstheme="minorHAnsi"/>
          <w:sz w:val="22"/>
        </w:rPr>
      </w:pPr>
      <w:r w:rsidRPr="008C080B">
        <w:rPr>
          <w:rFonts w:asciiTheme="minorHAnsi" w:hAnsiTheme="minorHAnsi" w:cstheme="minorHAnsi"/>
          <w:sz w:val="22"/>
        </w:rPr>
        <w:t>USAID together with country partners within the framework of CAADP objectives developed policy matrices to reflect priority objectives and specific policy actions that could improve the policy environment for food security. The resulting USG FTF “Policy Matrices” serve as both the basis for the USG FTF Policy Guide and one of its primary operational tools. The policy matrices incorporate partnership with countries; reflect a multi-year approach to capacity building and reform, and sets priorities for action.</w:t>
      </w:r>
    </w:p>
    <w:p w14:paraId="1295418F" w14:textId="690CAAC4" w:rsidR="00101C73" w:rsidRPr="008C080B" w:rsidRDefault="00101C73" w:rsidP="00101C73">
      <w:pPr>
        <w:pStyle w:val="Heading1"/>
        <w:spacing w:before="0"/>
        <w:rPr>
          <w:rFonts w:asciiTheme="minorHAnsi" w:hAnsiTheme="minorHAnsi" w:cstheme="minorHAnsi"/>
        </w:rPr>
      </w:pPr>
      <w:r w:rsidRPr="008C080B">
        <w:rPr>
          <w:rFonts w:asciiTheme="minorHAnsi" w:hAnsiTheme="minorHAnsi" w:cstheme="minorHAnsi"/>
        </w:rPr>
        <w:t>Core Principles</w:t>
      </w:r>
      <w:r w:rsidRPr="008C080B">
        <w:rPr>
          <w:rFonts w:asciiTheme="minorHAnsi" w:hAnsiTheme="minorHAnsi" w:cstheme="minorHAnsi"/>
        </w:rPr>
        <w:br/>
      </w:r>
    </w:p>
    <w:p w14:paraId="0300B477" w14:textId="77777777" w:rsidR="00101C73" w:rsidRPr="008C080B" w:rsidRDefault="00101C73" w:rsidP="00101C73">
      <w:pPr>
        <w:jc w:val="both"/>
        <w:rPr>
          <w:rFonts w:cstheme="minorHAnsi"/>
        </w:rPr>
      </w:pPr>
      <w:r w:rsidRPr="008C080B">
        <w:rPr>
          <w:rFonts w:cstheme="minorHAnsi"/>
        </w:rPr>
        <w:t xml:space="preserve">The core principles guiding the development and implementation of </w:t>
      </w:r>
      <w:r w:rsidRPr="008C080B">
        <w:rPr>
          <w:rFonts w:cstheme="minorHAnsi"/>
          <w:bCs/>
        </w:rPr>
        <w:t>USAID’s support for food security</w:t>
      </w:r>
      <w:r w:rsidRPr="008C080B">
        <w:rPr>
          <w:rFonts w:cstheme="minorHAnsi"/>
        </w:rPr>
        <w:t xml:space="preserve"> were initially identified in the L’Aquila Joint Statement, the Paris Declaration, the Accra Accord, and the Busan Partnership Agreement. These principles support partner-country-owned joint development agendas (JDAs), which will accelerate implementation and impact of these JDAs. </w:t>
      </w:r>
    </w:p>
    <w:p w14:paraId="4D17DE78" w14:textId="77777777" w:rsidR="00101C73" w:rsidRPr="008C080B" w:rsidRDefault="00101C73" w:rsidP="00101C73">
      <w:pPr>
        <w:jc w:val="both"/>
        <w:rPr>
          <w:rFonts w:cstheme="minorHAnsi"/>
        </w:rPr>
      </w:pPr>
      <w:r w:rsidRPr="008C080B">
        <w:rPr>
          <w:rFonts w:cstheme="minorHAnsi"/>
        </w:rPr>
        <w:t>The overarching core p</w:t>
      </w:r>
      <w:bookmarkStart w:id="3" w:name="_Toc344458861"/>
      <w:r w:rsidRPr="008C080B">
        <w:rPr>
          <w:rFonts w:cstheme="minorHAnsi"/>
        </w:rPr>
        <w:t>rinciples guiding USAID cooperation with partner countries are to assist establishing good governance practices, encouraging the growth of efficient private sector-driven markets, paying attention to rural livelihoods and risks to vulnerable people, promoting coordination and partnerships, and advancing mutual accountability.</w:t>
      </w:r>
    </w:p>
    <w:p w14:paraId="26000B9A" w14:textId="77777777" w:rsidR="00101C73" w:rsidRPr="008C080B" w:rsidRDefault="00101C73" w:rsidP="00101C73">
      <w:pPr>
        <w:jc w:val="both"/>
        <w:rPr>
          <w:rFonts w:cstheme="minorHAnsi"/>
        </w:rPr>
      </w:pPr>
    </w:p>
    <w:p w14:paraId="27BE8600" w14:textId="77777777" w:rsidR="00101C73" w:rsidRPr="008C080B" w:rsidRDefault="00101C73" w:rsidP="00101C73">
      <w:pPr>
        <w:rPr>
          <w:rFonts w:cstheme="minorHAnsi"/>
        </w:rPr>
      </w:pPr>
      <w:r w:rsidRPr="008C080B">
        <w:rPr>
          <w:rStyle w:val="Heading3Char"/>
          <w:rFonts w:asciiTheme="minorHAnsi" w:hAnsiTheme="minorHAnsi" w:cstheme="minorHAnsi"/>
        </w:rPr>
        <w:t>Good Governance</w:t>
      </w:r>
      <w:bookmarkEnd w:id="3"/>
      <w:r w:rsidRPr="008C080B">
        <w:rPr>
          <w:rFonts w:cstheme="minorHAnsi"/>
        </w:rPr>
        <w:t>: Establishing good governance practices leads to fostering greater transparency in government management; supporting policy making that has greater inclusion and participation of stakeholders such as domestic and foreign private-sector interests, consumers, civil society groups such as farmer organizations and women’s groups, and development partners. Legal fairness for stakeholders and investors and the use of evidence- and science-based analysis for policy formulation are also key parts of good governance.</w:t>
      </w:r>
      <w:bookmarkStart w:id="4" w:name="_Toc344458862"/>
      <w:r w:rsidRPr="008C080B">
        <w:rPr>
          <w:rFonts w:cstheme="minorHAnsi"/>
        </w:rPr>
        <w:t xml:space="preserve"> </w:t>
      </w:r>
    </w:p>
    <w:p w14:paraId="4C115BF8" w14:textId="77777777" w:rsidR="00101C73" w:rsidRPr="008C080B" w:rsidRDefault="00101C73" w:rsidP="00101C73">
      <w:pPr>
        <w:rPr>
          <w:rFonts w:cstheme="minorHAnsi"/>
        </w:rPr>
      </w:pPr>
    </w:p>
    <w:p w14:paraId="532787C3" w14:textId="77777777" w:rsidR="00101C73" w:rsidRPr="008C080B" w:rsidRDefault="00101C73" w:rsidP="00101C73">
      <w:pPr>
        <w:rPr>
          <w:rFonts w:cstheme="minorHAnsi"/>
        </w:rPr>
      </w:pPr>
      <w:r w:rsidRPr="008C080B">
        <w:rPr>
          <w:rStyle w:val="Heading3Char"/>
          <w:rFonts w:asciiTheme="minorHAnsi" w:hAnsiTheme="minorHAnsi" w:cstheme="minorHAnsi"/>
        </w:rPr>
        <w:t>Efficient Markets</w:t>
      </w:r>
      <w:r w:rsidRPr="008C080B">
        <w:rPr>
          <w:rFonts w:cstheme="minorHAnsi"/>
        </w:rPr>
        <w:t xml:space="preserve">: Private-sector </w:t>
      </w:r>
      <w:bookmarkEnd w:id="4"/>
      <w:r w:rsidRPr="008C080B">
        <w:rPr>
          <w:rFonts w:cstheme="minorHAnsi"/>
        </w:rPr>
        <w:t>led economies will produce low costs food for consumers and generate agricultural-led growth. Competition, improved trade, improvements in commercial laws and efficient market regulations, and the government establishment of standards for food products and food safety all form part of a market economy.</w:t>
      </w:r>
      <w:bookmarkStart w:id="5" w:name="_Toc344458863"/>
    </w:p>
    <w:p w14:paraId="04AAD57B" w14:textId="77777777" w:rsidR="00101C73" w:rsidRPr="008C080B" w:rsidRDefault="00101C73" w:rsidP="00101C73">
      <w:pPr>
        <w:rPr>
          <w:rFonts w:cstheme="minorHAnsi"/>
        </w:rPr>
      </w:pPr>
    </w:p>
    <w:p w14:paraId="2E9034E8" w14:textId="77777777" w:rsidR="00101C73" w:rsidRPr="008C080B" w:rsidRDefault="00101C73" w:rsidP="00101C73">
      <w:pPr>
        <w:rPr>
          <w:rFonts w:cstheme="minorHAnsi"/>
        </w:rPr>
      </w:pPr>
      <w:r w:rsidRPr="008C080B">
        <w:rPr>
          <w:rStyle w:val="Heading3Char"/>
          <w:rFonts w:asciiTheme="minorHAnsi" w:hAnsiTheme="minorHAnsi" w:cstheme="minorHAnsi"/>
        </w:rPr>
        <w:t>Attention to Rural Livelihoods and Risks to Vulnerable People</w:t>
      </w:r>
      <w:bookmarkEnd w:id="5"/>
      <w:r w:rsidRPr="008C080B">
        <w:rPr>
          <w:rFonts w:cstheme="minorHAnsi"/>
        </w:rPr>
        <w:t>: The food security objectives will be reached if the policy environment focuses on the needs of small- and medium-scale farmers and traders, invest in ways that promote equity, and meet the needs of the poor and vulnerable.  It is a priority to take into account resilience and nutrition and accelerate inclusive growth, and promote broad-based impact.</w:t>
      </w:r>
    </w:p>
    <w:p w14:paraId="3EC190EE" w14:textId="77777777" w:rsidR="00101C73" w:rsidRPr="008C080B" w:rsidRDefault="00101C73" w:rsidP="00101C73">
      <w:pPr>
        <w:rPr>
          <w:rFonts w:cstheme="minorHAnsi"/>
        </w:rPr>
      </w:pPr>
    </w:p>
    <w:p w14:paraId="6D4A85CA" w14:textId="77777777" w:rsidR="00101C73" w:rsidRPr="008C080B" w:rsidRDefault="00101C73" w:rsidP="00101C73">
      <w:pPr>
        <w:rPr>
          <w:rFonts w:cstheme="minorHAnsi"/>
        </w:rPr>
      </w:pPr>
      <w:bookmarkStart w:id="6" w:name="_Toc344458864"/>
      <w:r w:rsidRPr="008C080B">
        <w:rPr>
          <w:rStyle w:val="Heading3Char"/>
          <w:rFonts w:asciiTheme="minorHAnsi" w:hAnsiTheme="minorHAnsi" w:cstheme="minorHAnsi"/>
        </w:rPr>
        <w:t>Coordination and Partnership</w:t>
      </w:r>
      <w:bookmarkEnd w:id="6"/>
      <w:r w:rsidRPr="008C080B">
        <w:rPr>
          <w:rFonts w:cstheme="minorHAnsi"/>
        </w:rPr>
        <w:t>: USAID will collaborate with countries to promote inclusive partnership with civil society, the private sector, and other stakeholders. The USG will seek synergies and policy harmonization, advocate for in-country and regional coordination of partner organizations and donors, and strengthen collaboration with the private sector.</w:t>
      </w:r>
    </w:p>
    <w:p w14:paraId="5EFB8A98" w14:textId="77777777" w:rsidR="00101C73" w:rsidRPr="008C080B" w:rsidRDefault="00101C73" w:rsidP="00101C73">
      <w:pPr>
        <w:rPr>
          <w:rFonts w:cstheme="minorHAnsi"/>
          <w:color w:val="000000"/>
        </w:rPr>
      </w:pPr>
    </w:p>
    <w:p w14:paraId="7300DEEE" w14:textId="77777777" w:rsidR="00101C73" w:rsidRPr="008C080B" w:rsidRDefault="00101C73" w:rsidP="00101C73">
      <w:pPr>
        <w:pStyle w:val="Heading1"/>
        <w:spacing w:before="0"/>
        <w:rPr>
          <w:rFonts w:asciiTheme="minorHAnsi" w:hAnsiTheme="minorHAnsi" w:cstheme="minorHAnsi"/>
        </w:rPr>
      </w:pPr>
      <w:bookmarkStart w:id="7" w:name="_Toc354751309"/>
      <w:r w:rsidRPr="008C080B">
        <w:rPr>
          <w:rFonts w:asciiTheme="minorHAnsi" w:hAnsiTheme="minorHAnsi" w:cstheme="minorHAnsi"/>
        </w:rPr>
        <w:lastRenderedPageBreak/>
        <w:t>Effective Policy Formulation and Institutionalization</w:t>
      </w:r>
      <w:bookmarkEnd w:id="7"/>
      <w:r w:rsidRPr="008C080B">
        <w:rPr>
          <w:rFonts w:asciiTheme="minorHAnsi" w:hAnsiTheme="minorHAnsi" w:cstheme="minorHAnsi"/>
        </w:rPr>
        <w:t xml:space="preserve"> </w:t>
      </w:r>
    </w:p>
    <w:p w14:paraId="22E1DD71" w14:textId="77777777" w:rsidR="00101C73" w:rsidRPr="008C080B" w:rsidRDefault="00101C73" w:rsidP="00101C73">
      <w:pPr>
        <w:rPr>
          <w:rFonts w:cstheme="minorHAnsi"/>
        </w:rPr>
      </w:pPr>
    </w:p>
    <w:p w14:paraId="03753804" w14:textId="77777777" w:rsidR="00101C73" w:rsidRPr="008C080B" w:rsidRDefault="00101C73" w:rsidP="00101C73">
      <w:pPr>
        <w:rPr>
          <w:rFonts w:cstheme="minorHAnsi"/>
          <w:color w:val="000000"/>
        </w:rPr>
      </w:pPr>
      <w:r w:rsidRPr="008C080B">
        <w:rPr>
          <w:rFonts w:cstheme="minorHAnsi"/>
          <w:color w:val="000000"/>
        </w:rPr>
        <w:t>The USAID development experience suggestions that an effective policy formulation and institutionalization is premised on three basic building blocks (Figure 1).</w:t>
      </w:r>
    </w:p>
    <w:p w14:paraId="4DF90FDE" w14:textId="77777777" w:rsidR="00101C73" w:rsidRPr="008C080B" w:rsidRDefault="00101C73" w:rsidP="00101C73">
      <w:pPr>
        <w:rPr>
          <w:rFonts w:cstheme="minorHAnsi"/>
          <w:color w:val="000000"/>
        </w:rPr>
      </w:pPr>
    </w:p>
    <w:p w14:paraId="42F2A621" w14:textId="77777777" w:rsidR="00101C73" w:rsidRPr="008C080B" w:rsidRDefault="00101C73" w:rsidP="00101C73">
      <w:pPr>
        <w:pStyle w:val="ListParagraph"/>
        <w:numPr>
          <w:ilvl w:val="0"/>
          <w:numId w:val="6"/>
        </w:numPr>
        <w:spacing w:line="276" w:lineRule="auto"/>
        <w:rPr>
          <w:rFonts w:cstheme="minorHAnsi"/>
          <w:color w:val="000000"/>
        </w:rPr>
      </w:pPr>
      <w:r w:rsidRPr="008C080B">
        <w:rPr>
          <w:rFonts w:cstheme="minorHAnsi"/>
          <w:color w:val="000000"/>
        </w:rPr>
        <w:t xml:space="preserve">A prioritized </w:t>
      </w:r>
      <w:r w:rsidRPr="008C080B">
        <w:rPr>
          <w:rFonts w:cstheme="minorHAnsi"/>
          <w:b/>
          <w:i/>
          <w:color w:val="000000"/>
        </w:rPr>
        <w:t>policy agenda</w:t>
      </w:r>
      <w:r w:rsidRPr="008C080B">
        <w:rPr>
          <w:rFonts w:cstheme="minorHAnsi"/>
          <w:color w:val="000000"/>
        </w:rPr>
        <w:t xml:space="preserve"> of critical policy actions led by partner countries.  USAID is working to build a country based consultative effort to ensure that priority policy areas align with and add value to both the country investment plans of partner countries.</w:t>
      </w:r>
    </w:p>
    <w:p w14:paraId="71DC0E10" w14:textId="77777777" w:rsidR="00101C73" w:rsidRPr="008C080B" w:rsidRDefault="00101C73" w:rsidP="00101C73">
      <w:pPr>
        <w:pStyle w:val="ListParagraph"/>
        <w:rPr>
          <w:rFonts w:cstheme="minorHAnsi"/>
          <w:color w:val="000000"/>
        </w:rPr>
      </w:pPr>
    </w:p>
    <w:p w14:paraId="22145FFE" w14:textId="77777777" w:rsidR="00101C73" w:rsidRPr="008C080B" w:rsidRDefault="00101C73" w:rsidP="00101C73">
      <w:pPr>
        <w:pStyle w:val="ListParagraph"/>
        <w:numPr>
          <w:ilvl w:val="0"/>
          <w:numId w:val="6"/>
        </w:numPr>
        <w:spacing w:line="276" w:lineRule="auto"/>
        <w:rPr>
          <w:rFonts w:cstheme="minorHAnsi"/>
          <w:color w:val="000000"/>
        </w:rPr>
      </w:pPr>
      <w:r w:rsidRPr="008C080B">
        <w:rPr>
          <w:rFonts w:cstheme="minorHAnsi"/>
          <w:color w:val="000000"/>
        </w:rPr>
        <w:t xml:space="preserve">An </w:t>
      </w:r>
      <w:r w:rsidRPr="008C080B">
        <w:rPr>
          <w:rFonts w:cstheme="minorHAnsi"/>
          <w:b/>
          <w:i/>
          <w:color w:val="000000"/>
        </w:rPr>
        <w:t>institutional architecture</w:t>
      </w:r>
      <w:r w:rsidRPr="008C080B">
        <w:rPr>
          <w:rFonts w:cstheme="minorHAnsi"/>
          <w:color w:val="000000"/>
        </w:rPr>
        <w:t xml:space="preserve"> to identify barriers, design policy options, and coordinate actions to implement policies. It comprises a set of partner country public and private institutions; procedures and processes ranging from data collection and analysis, to policy proposals, to implementation and enforcement; and consultative mechanisms to get the right people and organizations working together in the policy process.  It is this institutional building block that provides for a coordinated approach to poverty reduction and hunger alleviation, led by partner countries and supported by donors and governments.</w:t>
      </w:r>
    </w:p>
    <w:p w14:paraId="02B36792" w14:textId="77777777" w:rsidR="00101C73" w:rsidRPr="008C080B" w:rsidRDefault="00101C73" w:rsidP="00101C73">
      <w:pPr>
        <w:pStyle w:val="ListParagraph"/>
        <w:ind w:left="360"/>
        <w:rPr>
          <w:rFonts w:cstheme="minorHAnsi"/>
          <w:color w:val="000000"/>
        </w:rPr>
      </w:pPr>
    </w:p>
    <w:p w14:paraId="37990CC7" w14:textId="77777777" w:rsidR="00101C73" w:rsidRPr="008C080B" w:rsidRDefault="00101C73" w:rsidP="00101C73">
      <w:pPr>
        <w:pStyle w:val="ListParagraph"/>
        <w:numPr>
          <w:ilvl w:val="0"/>
          <w:numId w:val="6"/>
        </w:numPr>
        <w:spacing w:line="276" w:lineRule="auto"/>
        <w:rPr>
          <w:rFonts w:cstheme="minorHAnsi"/>
          <w:color w:val="000000"/>
        </w:rPr>
      </w:pPr>
      <w:r w:rsidRPr="008C080B">
        <w:rPr>
          <w:rFonts w:cstheme="minorHAnsi"/>
          <w:b/>
          <w:i/>
          <w:color w:val="000000"/>
        </w:rPr>
        <w:t>Mutual accountability</w:t>
      </w:r>
      <w:r w:rsidRPr="008C080B">
        <w:rPr>
          <w:rFonts w:cstheme="minorHAnsi"/>
          <w:color w:val="000000"/>
        </w:rPr>
        <w:t xml:space="preserve"> to ensure that policy changes are effective and have real impact.  Transparent joint sector reviews will be conducted each year to ensure that individual commitments are met responsibly and that the collective portfolio of action significantly accelerates reductions in hunger and poverty. </w:t>
      </w:r>
    </w:p>
    <w:p w14:paraId="058C05BE" w14:textId="77777777" w:rsidR="00101C73" w:rsidRPr="008F76AE" w:rsidRDefault="00101C73" w:rsidP="00101C73">
      <w:pPr>
        <w:pStyle w:val="ListParagraph"/>
        <w:rPr>
          <w:rFonts w:ascii="Cambria" w:hAnsi="Cambria"/>
          <w:color w:val="000000"/>
        </w:rPr>
      </w:pPr>
    </w:p>
    <w:p w14:paraId="67C4ED2A" w14:textId="6F132E05" w:rsidR="00101C73" w:rsidRPr="008F76AE" w:rsidRDefault="008C080B" w:rsidP="00101C73">
      <w:pPr>
        <w:pStyle w:val="ListParagraph"/>
        <w:rPr>
          <w:rFonts w:ascii="Cambria" w:hAnsi="Cambria"/>
          <w:color w:val="000000"/>
        </w:rPr>
      </w:pPr>
      <w:r>
        <w:rPr>
          <w:noProof/>
        </w:rPr>
        <w:drawing>
          <wp:anchor distT="0" distB="0" distL="114300" distR="114300" simplePos="0" relativeHeight="251656192" behindDoc="0" locked="0" layoutInCell="1" allowOverlap="1" wp14:anchorId="6696552E" wp14:editId="247BDB4B">
            <wp:simplePos x="0" y="0"/>
            <wp:positionH relativeFrom="column">
              <wp:posOffset>228600</wp:posOffset>
            </wp:positionH>
            <wp:positionV relativeFrom="paragraph">
              <wp:posOffset>115570</wp:posOffset>
            </wp:positionV>
            <wp:extent cx="5486400" cy="3914775"/>
            <wp:effectExtent l="0" t="0" r="0" b="0"/>
            <wp:wrapNone/>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margin">
              <wp14:pctHeight>0</wp14:pctHeight>
            </wp14:sizeRelV>
          </wp:anchor>
        </w:drawing>
      </w:r>
      <w:r w:rsidR="00101C73" w:rsidRPr="008F76AE">
        <w:rPr>
          <w:rFonts w:ascii="Cambria" w:hAnsi="Cambria"/>
          <w:color w:val="000000"/>
        </w:rPr>
        <w:t>Figure 1:  Policy System</w:t>
      </w:r>
    </w:p>
    <w:p w14:paraId="08CB455E" w14:textId="079B6235" w:rsidR="00101C73" w:rsidRPr="00D11A2D" w:rsidRDefault="00101C73" w:rsidP="00101C73">
      <w:pPr>
        <w:spacing w:line="276" w:lineRule="auto"/>
        <w:rPr>
          <w:rFonts w:ascii="Cambria" w:hAnsi="Cambria"/>
        </w:rPr>
      </w:pPr>
    </w:p>
    <w:bookmarkStart w:id="8" w:name="_GoBack"/>
    <w:bookmarkEnd w:id="8"/>
    <w:p w14:paraId="7930EA35" w14:textId="1FA9E463" w:rsidR="00101C73" w:rsidRPr="008C080B" w:rsidRDefault="00101C73" w:rsidP="00101C73">
      <w:pPr>
        <w:rPr>
          <w:rFonts w:cstheme="minorHAnsi"/>
        </w:rPr>
      </w:pPr>
      <w:r>
        <w:rPr>
          <w:noProof/>
        </w:rPr>
        <mc:AlternateContent>
          <mc:Choice Requires="wps">
            <w:drawing>
              <wp:anchor distT="0" distB="0" distL="114300" distR="114300" simplePos="0" relativeHeight="251657216" behindDoc="0" locked="0" layoutInCell="1" allowOverlap="1" wp14:anchorId="304EB7D4" wp14:editId="462BF6DA">
                <wp:simplePos x="0" y="0"/>
                <wp:positionH relativeFrom="column">
                  <wp:posOffset>3422650</wp:posOffset>
                </wp:positionH>
                <wp:positionV relativeFrom="paragraph">
                  <wp:posOffset>883920</wp:posOffset>
                </wp:positionV>
                <wp:extent cx="1433195" cy="789305"/>
                <wp:effectExtent l="0" t="1905" r="12700" b="12700"/>
                <wp:wrapNone/>
                <wp:docPr id="3" name="Ben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433195" cy="789305"/>
                        </a:xfrm>
                        <a:prstGeom prst="ben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3" o:spid="_x0000_s1026" style="position:absolute;margin-left:269.5pt;margin-top:69.6pt;width:112.85pt;height:62.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3195,789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" path="m,789305l,443984c,253268,154605,98663,345321,98663r890548,l1235869,r197326,197326l1235869,394653r,-98664l345321,295989v-81735,,-147995,66260,-147995,147995l197326,789305,,789305xe" fillcolor="#4f81bd" strokecolor="#385d8a" strokeweight="2pt">
                <v:path arrowok="t" o:connecttype="custom" o:connectlocs="0,789305;0,443984;345321,98663;1235869,98663;1235869,0;1433195,197326;1235869,394653;1235869,295989;345321,295989;197326,443984;197326,789305;0,789305" o:connectangles="0,0,0,0,0,0,0,0,0,0,0,0"/>
              </v:shape>
            </w:pict>
          </mc:Fallback>
        </mc:AlternateContent>
      </w:r>
      <w:r>
        <w:rPr>
          <w:noProof/>
        </w:rPr>
        <mc:AlternateContent>
          <mc:Choice Requires="wps">
            <w:drawing>
              <wp:anchor distT="0" distB="0" distL="114300" distR="114300" simplePos="0" relativeHeight="251658240" behindDoc="0" locked="0" layoutInCell="1" allowOverlap="1" wp14:anchorId="56EF0BFE" wp14:editId="0A1A08FC">
                <wp:simplePos x="0" y="0"/>
                <wp:positionH relativeFrom="column">
                  <wp:posOffset>1362075</wp:posOffset>
                </wp:positionH>
                <wp:positionV relativeFrom="paragraph">
                  <wp:posOffset>467360</wp:posOffset>
                </wp:positionV>
                <wp:extent cx="771525" cy="1536065"/>
                <wp:effectExtent l="0" t="0" r="28575" b="26035"/>
                <wp:wrapNone/>
                <wp:docPr id="2" name="Ben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1536065"/>
                        </a:xfrm>
                        <a:prstGeom prst="ben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2" o:spid="_x0000_s1026" style="position:absolute;margin-left:107.25pt;margin-top:36.8pt;width:60.75pt;height:1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1525,153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" path="m,1536065l,433983c,247564,151123,96441,337542,96441r241102,l578644,,771525,192881,578644,385763r,-96441l337542,289322v-79894,,-144661,64767,-144661,144661l192881,1536065,,1536065xe" fillcolor="#4f81bd" strokecolor="#385d8a" strokeweight="2pt">
                <v:path arrowok="t" o:connecttype="custom" o:connectlocs="0,1536065;0,433983;337542,96441;578644,96441;578644,0;771525,192881;578644,385763;578644,289322;337542,289322;192881,433983;192881,1536065;0,1536065" o:connectangles="0,0,0,0,0,0,0,0,0,0,0,0"/>
              </v:shape>
            </w:pict>
          </mc:Fallback>
        </mc:AlternateContent>
      </w:r>
      <w:r>
        <w:rPr>
          <w:noProof/>
        </w:rPr>
        <mc:AlternateContent>
          <mc:Choice Requires="wps">
            <w:drawing>
              <wp:anchor distT="0" distB="0" distL="114300" distR="114300" simplePos="0" relativeHeight="251659264" behindDoc="0" locked="0" layoutInCell="1" allowOverlap="1" wp14:anchorId="2BABF028" wp14:editId="19D0A4C8">
                <wp:simplePos x="0" y="0"/>
                <wp:positionH relativeFrom="column">
                  <wp:posOffset>2238375</wp:posOffset>
                </wp:positionH>
                <wp:positionV relativeFrom="paragraph">
                  <wp:posOffset>3068320</wp:posOffset>
                </wp:positionV>
                <wp:extent cx="1352550" cy="475615"/>
                <wp:effectExtent l="0" t="0" r="19050" b="19685"/>
                <wp:wrapNone/>
                <wp:docPr id="1" name="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475615"/>
                        </a:xfrm>
                        <a:prstGeom prst="leftArrow">
                          <a:avLst>
                            <a:gd name="adj1" fmla="val 37984"/>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style="position:absolute;margin-left:176.25pt;margin-top:241.6pt;width:106.5pt;height:3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" adj="3798,6698" fillcolor="#4f81bd" strokecolor="#385d8a" strokeweight="2pt">
                <v:path arrowok="t"/>
              </v:shape>
            </w:pict>
          </mc:Fallback>
        </mc:AlternateContent>
      </w:r>
      <w:r w:rsidRPr="008F76AE">
        <w:rPr>
          <w:rFonts w:ascii="Cambria" w:hAnsi="Cambria"/>
        </w:rPr>
        <w:br w:type="page"/>
      </w:r>
      <w:r w:rsidRPr="008C080B">
        <w:rPr>
          <w:rFonts w:cstheme="minorHAnsi"/>
        </w:rPr>
        <w:t>No single building block can, succeed in achieving sustainable policy change, but together they can have a far larger impact on reducing hunger than has been seen before.</w:t>
      </w:r>
    </w:p>
    <w:p w14:paraId="66E28CFD" w14:textId="77777777" w:rsidR="00101C73" w:rsidRPr="008C080B" w:rsidRDefault="00101C73" w:rsidP="00101C73">
      <w:pPr>
        <w:rPr>
          <w:rFonts w:cstheme="minorHAnsi"/>
        </w:rPr>
      </w:pPr>
    </w:p>
    <w:p w14:paraId="6495E2E5" w14:textId="3F0B0EE1" w:rsidR="00101C73" w:rsidRPr="008C080B" w:rsidRDefault="00101C73" w:rsidP="00101C73">
      <w:pPr>
        <w:rPr>
          <w:rFonts w:cstheme="minorHAnsi"/>
          <w:color w:val="000000"/>
        </w:rPr>
      </w:pPr>
      <w:r w:rsidRPr="008C080B">
        <w:rPr>
          <w:rFonts w:cstheme="minorHAnsi"/>
          <w:color w:val="000000"/>
        </w:rPr>
        <w:t>USAID will support government, private sector and civil society and a range of other key stakeholders – in partnership and dialogue -- to advance their agricultural policy priorities at the national, regional, and global levels.  USAID hopes to strengthen partner-country policy institutions and processes through coordinated actions that support greater civil society (including gender-based civil society groups) and private sector participation in policy systems; and through explicit recognition of and support for country ownership of sustainable policy change processes and outcomes. This approach builds on and deepens capacity for sound evidence-based policy analysis, while building stronger policy consultation, decision, and monitoring systems to make best use of that analysis. The USAID thought, political, and action contributions will be utilized to engage other global centers of excellence in coordinated support for improved processes and policies.</w:t>
      </w:r>
    </w:p>
    <w:p w14:paraId="1C47C1D8" w14:textId="77777777" w:rsidR="00101C73" w:rsidRPr="008C080B" w:rsidRDefault="00101C73" w:rsidP="00101C73">
      <w:pPr>
        <w:rPr>
          <w:rFonts w:cstheme="minorHAnsi"/>
          <w:color w:val="000000"/>
        </w:rPr>
      </w:pPr>
    </w:p>
    <w:p w14:paraId="652E5DE8" w14:textId="77777777" w:rsidR="00101C73" w:rsidRPr="008C080B" w:rsidRDefault="00101C73" w:rsidP="00101C73">
      <w:pPr>
        <w:pStyle w:val="Heading1"/>
        <w:spacing w:before="0"/>
        <w:rPr>
          <w:rFonts w:asciiTheme="minorHAnsi" w:hAnsiTheme="minorHAnsi" w:cstheme="minorHAnsi"/>
        </w:rPr>
      </w:pPr>
      <w:bookmarkStart w:id="9" w:name="_Toc354751310"/>
      <w:r w:rsidRPr="008C080B">
        <w:rPr>
          <w:rFonts w:asciiTheme="minorHAnsi" w:hAnsiTheme="minorHAnsi" w:cstheme="minorHAnsi"/>
        </w:rPr>
        <w:t>The  Priority Areas</w:t>
      </w:r>
      <w:bookmarkEnd w:id="9"/>
    </w:p>
    <w:p w14:paraId="07E43F95" w14:textId="77777777" w:rsidR="00101C73" w:rsidRPr="008C080B" w:rsidRDefault="00101C73" w:rsidP="00101C73">
      <w:pPr>
        <w:rPr>
          <w:rFonts w:cstheme="minorHAnsi"/>
        </w:rPr>
      </w:pPr>
    </w:p>
    <w:p w14:paraId="3ED56AA4" w14:textId="77777777" w:rsidR="00101C73" w:rsidRPr="008C080B" w:rsidRDefault="00101C73" w:rsidP="00101C73">
      <w:pPr>
        <w:rPr>
          <w:rFonts w:cstheme="minorHAnsi"/>
          <w:color w:val="000000"/>
        </w:rPr>
      </w:pPr>
      <w:r w:rsidRPr="008C080B">
        <w:rPr>
          <w:rFonts w:cstheme="minorHAnsi"/>
          <w:color w:val="000000"/>
        </w:rPr>
        <w:t>Feed the Future’s policy change agenda will initially focus on seven priority policy areas, and takes into account such cross-cutting issues as gender, public sector investment, food and water safety, and science and technology policy.  That institutional architecture is both a building block of the Guide and a priority area indicates the crucial role it plays in generating and sustaining the policy improvement needed to enhance food security and end world hunger. The seven policy areas are outlined below.   Additional areas may be addressed in the future as research demonstrations a need to addressed additional policy constraints. Detailed descriptions are available from USAID.</w:t>
      </w:r>
    </w:p>
    <w:p w14:paraId="1C68FBDC" w14:textId="77777777" w:rsidR="00101C73" w:rsidRPr="008F76AE" w:rsidRDefault="00101C73" w:rsidP="00101C73">
      <w:pPr>
        <w:rPr>
          <w:rFonts w:ascii="Cambria" w:hAnsi="Cambria"/>
          <w:color w:val="000000"/>
        </w:rPr>
      </w:pPr>
    </w:p>
    <w:tbl>
      <w:tblPr>
        <w:tblW w:w="0" w:type="auto"/>
        <w:jc w:val="center"/>
        <w:tblBorders>
          <w:top w:val="single" w:sz="4" w:space="0" w:color="808080"/>
          <w:bottom w:val="single" w:sz="4" w:space="0" w:color="808080"/>
          <w:insideH w:val="single" w:sz="4" w:space="0" w:color="404040"/>
        </w:tblBorders>
        <w:tblLook w:val="04A0" w:firstRow="1" w:lastRow="0" w:firstColumn="1" w:lastColumn="0" w:noHBand="0" w:noVBand="1"/>
      </w:tblPr>
      <w:tblGrid>
        <w:gridCol w:w="2628"/>
        <w:gridCol w:w="6948"/>
      </w:tblGrid>
      <w:tr w:rsidR="00101C73" w:rsidRPr="00E70A8E" w14:paraId="5BF2825A" w14:textId="77777777" w:rsidTr="002D213E">
        <w:trPr>
          <w:trHeight w:val="269"/>
          <w:tblHeader/>
          <w:jc w:val="center"/>
        </w:trPr>
        <w:tc>
          <w:tcPr>
            <w:tcW w:w="2628" w:type="dxa"/>
            <w:tcBorders>
              <w:top w:val="nil"/>
              <w:bottom w:val="nil"/>
            </w:tcBorders>
            <w:shd w:val="clear" w:color="auto" w:fill="26B44F"/>
            <w:hideMark/>
          </w:tcPr>
          <w:p w14:paraId="0292D814" w14:textId="77777777" w:rsidR="00101C73" w:rsidRPr="008F76AE" w:rsidRDefault="00101C73" w:rsidP="002D213E">
            <w:pPr>
              <w:jc w:val="center"/>
              <w:rPr>
                <w:color w:val="FFFFFF"/>
                <w:sz w:val="24"/>
              </w:rPr>
            </w:pPr>
            <w:r w:rsidRPr="008F76AE">
              <w:rPr>
                <w:color w:val="FFFFFF"/>
                <w:sz w:val="24"/>
              </w:rPr>
              <w:t>Area</w:t>
            </w:r>
          </w:p>
        </w:tc>
        <w:tc>
          <w:tcPr>
            <w:tcW w:w="6948" w:type="dxa"/>
            <w:tcBorders>
              <w:top w:val="nil"/>
              <w:bottom w:val="nil"/>
            </w:tcBorders>
            <w:shd w:val="clear" w:color="auto" w:fill="26B44F"/>
            <w:hideMark/>
          </w:tcPr>
          <w:p w14:paraId="567830BC" w14:textId="77777777" w:rsidR="00101C73" w:rsidRPr="008F76AE" w:rsidRDefault="00101C73" w:rsidP="002D213E">
            <w:pPr>
              <w:jc w:val="center"/>
              <w:rPr>
                <w:color w:val="FFFFFF"/>
                <w:sz w:val="24"/>
              </w:rPr>
            </w:pPr>
            <w:r w:rsidRPr="008F76AE">
              <w:rPr>
                <w:color w:val="FFFFFF"/>
                <w:sz w:val="24"/>
              </w:rPr>
              <w:t>Objective</w:t>
            </w:r>
          </w:p>
        </w:tc>
      </w:tr>
      <w:tr w:rsidR="00101C73" w:rsidRPr="00BB5D3D" w14:paraId="6915EFC4" w14:textId="77777777" w:rsidTr="002D213E">
        <w:trPr>
          <w:trHeight w:val="782"/>
          <w:jc w:val="center"/>
        </w:trPr>
        <w:tc>
          <w:tcPr>
            <w:tcW w:w="2628" w:type="dxa"/>
            <w:tcBorders>
              <w:top w:val="nil"/>
              <w:bottom w:val="nil"/>
            </w:tcBorders>
            <w:shd w:val="clear" w:color="auto" w:fill="FFFFFF"/>
            <w:hideMark/>
          </w:tcPr>
          <w:p w14:paraId="017F9050" w14:textId="77777777" w:rsidR="00101C73" w:rsidRPr="00B06BB8" w:rsidRDefault="00101C73" w:rsidP="002D213E">
            <w:pPr>
              <w:rPr>
                <w:szCs w:val="24"/>
              </w:rPr>
            </w:pPr>
            <w:r w:rsidRPr="00B06BB8">
              <w:rPr>
                <w:szCs w:val="24"/>
              </w:rPr>
              <w:t>Institutional Architecture for Improved Policy Formulation</w:t>
            </w:r>
          </w:p>
        </w:tc>
        <w:tc>
          <w:tcPr>
            <w:tcW w:w="6948" w:type="dxa"/>
            <w:tcBorders>
              <w:top w:val="nil"/>
              <w:bottom w:val="nil"/>
            </w:tcBorders>
            <w:shd w:val="clear" w:color="auto" w:fill="FFFFFF"/>
            <w:hideMark/>
          </w:tcPr>
          <w:p w14:paraId="15D009D5" w14:textId="77777777" w:rsidR="00101C73" w:rsidRDefault="00101C73" w:rsidP="002D213E">
            <w:r w:rsidRPr="00D61C2E">
              <w:t>Develop predictable, transparent, inclusive, evidence-based policy for</w:t>
            </w:r>
            <w:r>
              <w:t xml:space="preserve"> </w:t>
            </w:r>
            <w:r w:rsidRPr="00D61C2E">
              <w:t>accelerated policy improvement and implementation in support of poverty reduction and improved nutrition.</w:t>
            </w:r>
          </w:p>
        </w:tc>
      </w:tr>
      <w:tr w:rsidR="00101C73" w:rsidRPr="00BB5D3D" w14:paraId="3ABE8545" w14:textId="77777777" w:rsidTr="002D213E">
        <w:trPr>
          <w:trHeight w:val="746"/>
          <w:jc w:val="center"/>
        </w:trPr>
        <w:tc>
          <w:tcPr>
            <w:tcW w:w="2628" w:type="dxa"/>
            <w:tcBorders>
              <w:top w:val="nil"/>
              <w:bottom w:val="nil"/>
            </w:tcBorders>
            <w:shd w:val="clear" w:color="auto" w:fill="C6D9F1"/>
            <w:hideMark/>
          </w:tcPr>
          <w:p w14:paraId="099C312C" w14:textId="77777777" w:rsidR="00101C73" w:rsidRPr="00B06BB8" w:rsidRDefault="00101C73" w:rsidP="002D213E">
            <w:pPr>
              <w:rPr>
                <w:szCs w:val="24"/>
              </w:rPr>
            </w:pPr>
            <w:r w:rsidRPr="00B06BB8">
              <w:rPr>
                <w:szCs w:val="24"/>
              </w:rPr>
              <w:t>Enabling Environment for Private Sector Investment</w:t>
            </w:r>
          </w:p>
        </w:tc>
        <w:tc>
          <w:tcPr>
            <w:tcW w:w="6948" w:type="dxa"/>
            <w:tcBorders>
              <w:top w:val="nil"/>
              <w:bottom w:val="nil"/>
            </w:tcBorders>
            <w:shd w:val="clear" w:color="auto" w:fill="C6D9F1"/>
            <w:hideMark/>
          </w:tcPr>
          <w:p w14:paraId="481723A0" w14:textId="77777777" w:rsidR="00101C73" w:rsidRDefault="00101C73" w:rsidP="002D213E">
            <w:r w:rsidRPr="007D6A2F">
              <w:t>Increase competitiveness and reduce barriers to stimulate private investment in agriculture</w:t>
            </w:r>
            <w:r>
              <w:t>, which</w:t>
            </w:r>
            <w:r w:rsidRPr="007D6A2F">
              <w:t xml:space="preserve"> increases incomes for smallholders and firms</w:t>
            </w:r>
            <w:r>
              <w:t>,</w:t>
            </w:r>
            <w:r w:rsidRPr="007D6A2F">
              <w:t xml:space="preserve"> and generates employment.</w:t>
            </w:r>
          </w:p>
        </w:tc>
      </w:tr>
      <w:tr w:rsidR="00101C73" w:rsidRPr="00BB5D3D" w14:paraId="7B641B03" w14:textId="77777777" w:rsidTr="002D213E">
        <w:trPr>
          <w:trHeight w:val="1007"/>
          <w:jc w:val="center"/>
        </w:trPr>
        <w:tc>
          <w:tcPr>
            <w:tcW w:w="2628" w:type="dxa"/>
            <w:tcBorders>
              <w:top w:val="nil"/>
              <w:bottom w:val="nil"/>
            </w:tcBorders>
            <w:shd w:val="clear" w:color="auto" w:fill="FFFFFF"/>
            <w:hideMark/>
          </w:tcPr>
          <w:p w14:paraId="3A0B813B" w14:textId="77777777" w:rsidR="00101C73" w:rsidRPr="00B06BB8" w:rsidRDefault="00101C73" w:rsidP="002D213E">
            <w:pPr>
              <w:rPr>
                <w:szCs w:val="24"/>
              </w:rPr>
            </w:pPr>
            <w:r w:rsidRPr="00B06BB8">
              <w:rPr>
                <w:szCs w:val="24"/>
              </w:rPr>
              <w:t>Agricultural Trade</w:t>
            </w:r>
            <w:r>
              <w:rPr>
                <w:szCs w:val="24"/>
              </w:rPr>
              <w:t xml:space="preserve"> Policy</w:t>
            </w:r>
          </w:p>
        </w:tc>
        <w:tc>
          <w:tcPr>
            <w:tcW w:w="6948" w:type="dxa"/>
            <w:tcBorders>
              <w:top w:val="nil"/>
              <w:bottom w:val="nil"/>
            </w:tcBorders>
            <w:shd w:val="clear" w:color="auto" w:fill="FFFFFF"/>
            <w:hideMark/>
          </w:tcPr>
          <w:p w14:paraId="6669941D" w14:textId="77777777" w:rsidR="00101C73" w:rsidRPr="00B06BB8" w:rsidRDefault="00101C73" w:rsidP="002D213E">
            <w:pPr>
              <w:rPr>
                <w:szCs w:val="24"/>
              </w:rPr>
            </w:pPr>
            <w:r w:rsidRPr="00347865">
              <w:rPr>
                <w:szCs w:val="24"/>
              </w:rPr>
              <w:t>Increase efficiency, stability</w:t>
            </w:r>
            <w:r>
              <w:rPr>
                <w:szCs w:val="24"/>
              </w:rPr>
              <w:t>,</w:t>
            </w:r>
            <w:r w:rsidRPr="00347865">
              <w:rPr>
                <w:szCs w:val="24"/>
              </w:rPr>
              <w:t xml:space="preserve"> and transparency in domestic and cross-border trade consistent with international agreements to spur inclusive economic growth and foster increased private sector investment in agriculture.</w:t>
            </w:r>
          </w:p>
        </w:tc>
      </w:tr>
      <w:tr w:rsidR="00101C73" w:rsidRPr="00BB5D3D" w14:paraId="35841E80" w14:textId="77777777" w:rsidTr="002D213E">
        <w:trPr>
          <w:trHeight w:val="665"/>
          <w:jc w:val="center"/>
        </w:trPr>
        <w:tc>
          <w:tcPr>
            <w:tcW w:w="2628" w:type="dxa"/>
            <w:tcBorders>
              <w:top w:val="nil"/>
              <w:bottom w:val="nil"/>
            </w:tcBorders>
            <w:shd w:val="clear" w:color="auto" w:fill="C6D9F1"/>
            <w:hideMark/>
          </w:tcPr>
          <w:p w14:paraId="4A6D334E" w14:textId="77777777" w:rsidR="00101C73" w:rsidRPr="00B06BB8" w:rsidRDefault="00101C73" w:rsidP="002D213E">
            <w:pPr>
              <w:rPr>
                <w:szCs w:val="24"/>
              </w:rPr>
            </w:pPr>
            <w:r w:rsidRPr="00B06BB8">
              <w:rPr>
                <w:szCs w:val="24"/>
              </w:rPr>
              <w:t>Agricultural Inputs</w:t>
            </w:r>
            <w:r>
              <w:rPr>
                <w:szCs w:val="24"/>
              </w:rPr>
              <w:t xml:space="preserve"> Policy</w:t>
            </w:r>
          </w:p>
        </w:tc>
        <w:tc>
          <w:tcPr>
            <w:tcW w:w="6948" w:type="dxa"/>
            <w:tcBorders>
              <w:top w:val="nil"/>
              <w:bottom w:val="nil"/>
            </w:tcBorders>
            <w:shd w:val="clear" w:color="auto" w:fill="C6D9F1"/>
            <w:hideMark/>
          </w:tcPr>
          <w:p w14:paraId="5A5622DB" w14:textId="77777777" w:rsidR="00101C73" w:rsidRPr="00B06BB8" w:rsidRDefault="00101C73" w:rsidP="002D213E">
            <w:r w:rsidRPr="0022140F">
              <w:t>Enable the private sector to develop, commercialize and broadly disseminate improved inputs to smallholders</w:t>
            </w:r>
            <w:r>
              <w:t xml:space="preserve"> in order</w:t>
            </w:r>
            <w:r w:rsidRPr="0022140F">
              <w:t xml:space="preserve"> to increase smallholder productivity and incomes.</w:t>
            </w:r>
          </w:p>
        </w:tc>
      </w:tr>
      <w:tr w:rsidR="00101C73" w:rsidRPr="00BB5D3D" w14:paraId="11E7FA86" w14:textId="77777777" w:rsidTr="002D213E">
        <w:trPr>
          <w:trHeight w:val="1202"/>
          <w:jc w:val="center"/>
        </w:trPr>
        <w:tc>
          <w:tcPr>
            <w:tcW w:w="2628" w:type="dxa"/>
            <w:tcBorders>
              <w:top w:val="nil"/>
              <w:bottom w:val="nil"/>
            </w:tcBorders>
            <w:shd w:val="clear" w:color="auto" w:fill="FFFFFF"/>
            <w:hideMark/>
          </w:tcPr>
          <w:p w14:paraId="2892E067" w14:textId="77777777" w:rsidR="00101C73" w:rsidRPr="00B06BB8" w:rsidRDefault="00101C73" w:rsidP="002D213E">
            <w:pPr>
              <w:rPr>
                <w:szCs w:val="24"/>
              </w:rPr>
            </w:pPr>
            <w:r w:rsidRPr="00B06BB8">
              <w:rPr>
                <w:szCs w:val="24"/>
              </w:rPr>
              <w:t>Land and Natural Resources Tenure, Rights</w:t>
            </w:r>
            <w:r>
              <w:rPr>
                <w:szCs w:val="24"/>
              </w:rPr>
              <w:t>,</w:t>
            </w:r>
            <w:r w:rsidRPr="00B06BB8">
              <w:rPr>
                <w:szCs w:val="24"/>
              </w:rPr>
              <w:t>&amp; Policy</w:t>
            </w:r>
          </w:p>
        </w:tc>
        <w:tc>
          <w:tcPr>
            <w:tcW w:w="6948" w:type="dxa"/>
            <w:tcBorders>
              <w:top w:val="nil"/>
              <w:bottom w:val="nil"/>
            </w:tcBorders>
            <w:shd w:val="clear" w:color="auto" w:fill="FFFFFF"/>
            <w:hideMark/>
          </w:tcPr>
          <w:p w14:paraId="25B7A955" w14:textId="77777777" w:rsidR="00101C73" w:rsidRPr="00B06BB8" w:rsidRDefault="00101C73" w:rsidP="002D213E">
            <w:pPr>
              <w:rPr>
                <w:szCs w:val="24"/>
              </w:rPr>
            </w:pPr>
            <w:r w:rsidRPr="0022140F">
              <w:t xml:space="preserve">Establish </w:t>
            </w:r>
            <w:r>
              <w:t xml:space="preserve">effective institutional arrangements, rules, and mechanisms that </w:t>
            </w:r>
            <w:r w:rsidRPr="0022140F">
              <w:t>recogniz</w:t>
            </w:r>
            <w:r>
              <w:t>e the legitimate land and resource</w:t>
            </w:r>
            <w:r w:rsidRPr="0022140F">
              <w:t xml:space="preserve"> rights of all users, including women, pastoralists and vulnerable populations, in order to stimulate transformative and sustainable investments in both land-based and non-agricultural income-generating assets</w:t>
            </w:r>
            <w:r>
              <w:t>.</w:t>
            </w:r>
          </w:p>
        </w:tc>
      </w:tr>
      <w:tr w:rsidR="00101C73" w:rsidRPr="00BB5D3D" w14:paraId="503FE2F3" w14:textId="77777777" w:rsidTr="002D213E">
        <w:trPr>
          <w:trHeight w:val="671"/>
          <w:jc w:val="center"/>
        </w:trPr>
        <w:tc>
          <w:tcPr>
            <w:tcW w:w="2628" w:type="dxa"/>
            <w:tcBorders>
              <w:top w:val="nil"/>
              <w:bottom w:val="nil"/>
            </w:tcBorders>
            <w:shd w:val="clear" w:color="auto" w:fill="C6D9F1"/>
            <w:hideMark/>
          </w:tcPr>
          <w:p w14:paraId="0B829597" w14:textId="77777777" w:rsidR="00101C73" w:rsidRPr="00B06BB8" w:rsidRDefault="00101C73" w:rsidP="002D213E">
            <w:pPr>
              <w:rPr>
                <w:szCs w:val="24"/>
              </w:rPr>
            </w:pPr>
            <w:r w:rsidRPr="00B06BB8">
              <w:rPr>
                <w:szCs w:val="24"/>
              </w:rPr>
              <w:t xml:space="preserve">Resilience and </w:t>
            </w:r>
            <w:r>
              <w:rPr>
                <w:szCs w:val="24"/>
              </w:rPr>
              <w:t xml:space="preserve">Agricultural </w:t>
            </w:r>
            <w:r w:rsidRPr="00B06BB8">
              <w:rPr>
                <w:szCs w:val="24"/>
              </w:rPr>
              <w:t>Risk Management</w:t>
            </w:r>
            <w:r>
              <w:rPr>
                <w:szCs w:val="24"/>
              </w:rPr>
              <w:t xml:space="preserve"> Policy</w:t>
            </w:r>
          </w:p>
        </w:tc>
        <w:tc>
          <w:tcPr>
            <w:tcW w:w="6948" w:type="dxa"/>
            <w:tcBorders>
              <w:top w:val="nil"/>
              <w:bottom w:val="nil"/>
            </w:tcBorders>
            <w:shd w:val="clear" w:color="auto" w:fill="C6D9F1"/>
            <w:hideMark/>
          </w:tcPr>
          <w:p w14:paraId="2BB16A18" w14:textId="77777777" w:rsidR="00101C73" w:rsidRPr="00A168E2" w:rsidRDefault="00101C73" w:rsidP="002D213E">
            <w:r w:rsidRPr="0022140F">
              <w:t>Enable smallholders, communities</w:t>
            </w:r>
            <w:r>
              <w:t>,</w:t>
            </w:r>
            <w:r w:rsidRPr="0022140F">
              <w:t xml:space="preserve"> and countries to mitigate and recover from risks, shocks</w:t>
            </w:r>
            <w:r>
              <w:t>,</w:t>
            </w:r>
            <w:r w:rsidRPr="0022140F">
              <w:t xml:space="preserve"> and stresses to agriculture, in a manner that reduces chronic vulnerability and facilitates inclusive growth.</w:t>
            </w:r>
          </w:p>
        </w:tc>
      </w:tr>
      <w:tr w:rsidR="00101C73" w:rsidRPr="00BB5D3D" w14:paraId="1D4C1ABF" w14:textId="77777777" w:rsidTr="002D213E">
        <w:trPr>
          <w:trHeight w:val="305"/>
          <w:jc w:val="center"/>
        </w:trPr>
        <w:tc>
          <w:tcPr>
            <w:tcW w:w="2628" w:type="dxa"/>
            <w:tcBorders>
              <w:top w:val="nil"/>
            </w:tcBorders>
            <w:shd w:val="clear" w:color="auto" w:fill="FFFFFF"/>
            <w:hideMark/>
          </w:tcPr>
          <w:p w14:paraId="3DF26203" w14:textId="77777777" w:rsidR="00101C73" w:rsidRPr="00B06BB8" w:rsidRDefault="00101C73" w:rsidP="002D213E">
            <w:pPr>
              <w:rPr>
                <w:szCs w:val="24"/>
              </w:rPr>
            </w:pPr>
            <w:r>
              <w:rPr>
                <w:szCs w:val="24"/>
              </w:rPr>
              <w:t>Nutrition Policy</w:t>
            </w:r>
          </w:p>
        </w:tc>
        <w:tc>
          <w:tcPr>
            <w:tcW w:w="6948" w:type="dxa"/>
            <w:tcBorders>
              <w:top w:val="nil"/>
            </w:tcBorders>
            <w:shd w:val="clear" w:color="auto" w:fill="FFFFFF"/>
            <w:hideMark/>
          </w:tcPr>
          <w:p w14:paraId="16A6EFD9" w14:textId="77777777" w:rsidR="00101C73" w:rsidRPr="00B06BB8" w:rsidRDefault="00101C73" w:rsidP="002D213E">
            <w:pPr>
              <w:rPr>
                <w:szCs w:val="24"/>
              </w:rPr>
            </w:pPr>
            <w:r w:rsidRPr="00837124">
              <w:rPr>
                <w:szCs w:val="24"/>
              </w:rPr>
              <w:t xml:space="preserve">Reduce </w:t>
            </w:r>
            <w:r>
              <w:rPr>
                <w:szCs w:val="24"/>
              </w:rPr>
              <w:t>under-nutrition</w:t>
            </w:r>
            <w:r w:rsidRPr="00837124">
              <w:rPr>
                <w:szCs w:val="24"/>
              </w:rPr>
              <w:t xml:space="preserve"> with a focus on women and children</w:t>
            </w:r>
            <w:r>
              <w:rPr>
                <w:szCs w:val="24"/>
              </w:rPr>
              <w:t>, less than 5 years of age,</w:t>
            </w:r>
            <w:r w:rsidRPr="00837124">
              <w:rPr>
                <w:szCs w:val="24"/>
              </w:rPr>
              <w:t xml:space="preserve"> – in particular the 1000</w:t>
            </w:r>
            <w:r>
              <w:rPr>
                <w:szCs w:val="24"/>
              </w:rPr>
              <w:t>-</w:t>
            </w:r>
            <w:r w:rsidRPr="00837124">
              <w:rPr>
                <w:szCs w:val="24"/>
              </w:rPr>
              <w:t xml:space="preserve">day period </w:t>
            </w:r>
            <w:r>
              <w:rPr>
                <w:szCs w:val="24"/>
              </w:rPr>
              <w:t>from</w:t>
            </w:r>
            <w:r w:rsidRPr="00837124">
              <w:rPr>
                <w:szCs w:val="24"/>
              </w:rPr>
              <w:t xml:space="preserve"> pregnancy </w:t>
            </w:r>
            <w:r>
              <w:rPr>
                <w:szCs w:val="24"/>
              </w:rPr>
              <w:t>to</w:t>
            </w:r>
            <w:r w:rsidRPr="00837124">
              <w:rPr>
                <w:szCs w:val="24"/>
              </w:rPr>
              <w:t xml:space="preserve"> a child’s second birthday</w:t>
            </w:r>
            <w:r>
              <w:rPr>
                <w:szCs w:val="24"/>
              </w:rPr>
              <w:t>.</w:t>
            </w:r>
          </w:p>
        </w:tc>
      </w:tr>
    </w:tbl>
    <w:p w14:paraId="0BAACCBC" w14:textId="77777777" w:rsidR="00101C73" w:rsidRDefault="00101C73" w:rsidP="00101C73">
      <w:pPr>
        <w:pStyle w:val="Heading1"/>
        <w:spacing w:before="0"/>
      </w:pPr>
    </w:p>
    <w:p w14:paraId="327CF661" w14:textId="77777777" w:rsidR="00101C73" w:rsidRPr="008F76AE" w:rsidRDefault="00101C73" w:rsidP="00101C73">
      <w:pPr>
        <w:rPr>
          <w:rFonts w:ascii="Cambria" w:hAnsi="Cambria"/>
        </w:rPr>
      </w:pPr>
    </w:p>
    <w:p w14:paraId="7F04B5E9" w14:textId="77777777" w:rsidR="00101C73" w:rsidRPr="008C080B" w:rsidRDefault="00101C73" w:rsidP="00101C73">
      <w:pPr>
        <w:pStyle w:val="Heading1"/>
        <w:spacing w:before="0"/>
        <w:rPr>
          <w:rFonts w:asciiTheme="minorHAnsi" w:hAnsiTheme="minorHAnsi" w:cstheme="minorHAnsi"/>
        </w:rPr>
      </w:pPr>
      <w:bookmarkStart w:id="10" w:name="_Toc354751311"/>
      <w:r w:rsidRPr="008C080B">
        <w:rPr>
          <w:rFonts w:asciiTheme="minorHAnsi" w:hAnsiTheme="minorHAnsi" w:cstheme="minorHAnsi"/>
        </w:rPr>
        <w:t>Relationship to G8/African Union New Alliance Cooperation Frameworks</w:t>
      </w:r>
      <w:bookmarkEnd w:id="10"/>
    </w:p>
    <w:p w14:paraId="2BCA9E49" w14:textId="77777777" w:rsidR="00101C73" w:rsidRPr="008C080B" w:rsidRDefault="00101C73" w:rsidP="00101C73">
      <w:pPr>
        <w:rPr>
          <w:rFonts w:cstheme="minorHAnsi"/>
        </w:rPr>
      </w:pPr>
    </w:p>
    <w:p w14:paraId="72C3A134" w14:textId="77777777" w:rsidR="00101C73" w:rsidRPr="008C080B" w:rsidRDefault="00101C73" w:rsidP="00101C73">
      <w:pPr>
        <w:rPr>
          <w:rFonts w:cstheme="minorHAnsi"/>
        </w:rPr>
      </w:pPr>
      <w:r w:rsidRPr="008C080B">
        <w:rPr>
          <w:rFonts w:cstheme="minorHAnsi"/>
        </w:rPr>
        <w:t xml:space="preserve">At the 2012 G-8 a New Alliance for Food Security and Nutrition (New Alliance) was created to establish the shared commitment of G8 members, African countries, and private sector partners to achieve sustained and inclusive agricultural growth and raise 50 million people out of poverty over the next 10 years. A cornerstone of the New Alliance is supporting partner governments to make and sustain the policy changes needed to bring new investment to African agriculture and nutrition. New Alliance Cooperation Frameworks – jointly agreed to as of early 2013 for 6 African countries – were initially built on early drafts of the FTF Policy Matrices.    By putting major emphasis and political commitment on improving food security and agricultural investment policies in Africa, the New Alliance has paved the way for faster, deeper, and more successful implementation of the FTF policy agenda. </w:t>
      </w:r>
    </w:p>
    <w:p w14:paraId="064F6FEF" w14:textId="77777777" w:rsidR="00101C73" w:rsidRPr="008C080B" w:rsidRDefault="00101C73" w:rsidP="00101C73">
      <w:pPr>
        <w:pStyle w:val="Heading1"/>
        <w:spacing w:before="0"/>
        <w:rPr>
          <w:rFonts w:asciiTheme="minorHAnsi" w:hAnsiTheme="minorHAnsi" w:cstheme="minorHAnsi"/>
        </w:rPr>
      </w:pPr>
    </w:p>
    <w:p w14:paraId="560C47F1" w14:textId="77777777" w:rsidR="00101C73" w:rsidRPr="008C080B" w:rsidRDefault="00101C73" w:rsidP="00101C73">
      <w:pPr>
        <w:pStyle w:val="Heading1"/>
        <w:spacing w:before="0"/>
        <w:rPr>
          <w:rFonts w:asciiTheme="minorHAnsi" w:hAnsiTheme="minorHAnsi" w:cstheme="minorHAnsi"/>
        </w:rPr>
      </w:pPr>
      <w:r w:rsidRPr="008C080B">
        <w:rPr>
          <w:rFonts w:asciiTheme="minorHAnsi" w:hAnsiTheme="minorHAnsi" w:cstheme="minorHAnsi"/>
        </w:rPr>
        <w:t>Concluding Note</w:t>
      </w:r>
    </w:p>
    <w:p w14:paraId="2381208E" w14:textId="77777777" w:rsidR="00101C73" w:rsidRPr="008C080B" w:rsidRDefault="00101C73" w:rsidP="00101C73">
      <w:pPr>
        <w:rPr>
          <w:rFonts w:cstheme="minorHAnsi"/>
        </w:rPr>
      </w:pPr>
    </w:p>
    <w:p w14:paraId="3030D2BA" w14:textId="77777777" w:rsidR="00101C73" w:rsidRPr="008C080B" w:rsidRDefault="00101C73" w:rsidP="00101C73">
      <w:pPr>
        <w:rPr>
          <w:rFonts w:cstheme="minorHAnsi"/>
        </w:rPr>
      </w:pPr>
      <w:r w:rsidRPr="008C080B">
        <w:rPr>
          <w:rFonts w:cstheme="minorHAnsi"/>
        </w:rPr>
        <w:t>USAID is committed to advancing food security objectives through AU- and country-led policy changes that will leverage greater public and private sector investments approved in country implementation plans.  USAID will continue to align its resources with country priorities based on evidence based research.  The successful contributions will be achieved through partnership with the AU, countries, other development partners, private sector investors, and civil society.</w:t>
      </w:r>
    </w:p>
    <w:p w14:paraId="00F893D9" w14:textId="6D4AB889" w:rsidR="001F02A8" w:rsidRPr="008C080B" w:rsidRDefault="001F02A8" w:rsidP="00101C73">
      <w:pPr>
        <w:rPr>
          <w:rFonts w:cstheme="minorHAnsi"/>
        </w:rPr>
      </w:pPr>
    </w:p>
    <w:sectPr w:rsidR="001F02A8" w:rsidRPr="008C080B" w:rsidSect="00E32002">
      <w:footerReference w:type="default" r:id="rId16"/>
      <w:pgSz w:w="12240" w:h="15840" w:code="1"/>
      <w:pgMar w:top="1440" w:right="1440" w:bottom="1440" w:left="1440" w:header="720"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86283" w14:textId="77777777" w:rsidR="006F4B0B" w:rsidRDefault="006F4B0B" w:rsidP="009F30BC">
      <w:r>
        <w:separator/>
      </w:r>
    </w:p>
  </w:endnote>
  <w:endnote w:type="continuationSeparator" w:id="0">
    <w:p w14:paraId="4C7A0AAE" w14:textId="77777777" w:rsidR="006F4B0B" w:rsidRDefault="006F4B0B" w:rsidP="009F30BC">
      <w:r>
        <w:continuationSeparator/>
      </w:r>
    </w:p>
  </w:endnote>
  <w:endnote w:type="continuationNotice" w:id="1">
    <w:p w14:paraId="176F3546" w14:textId="77777777" w:rsidR="006F4B0B" w:rsidRDefault="006F4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2115501904"/>
      <w:docPartObj>
        <w:docPartGallery w:val="Page Numbers (Bottom of Page)"/>
        <w:docPartUnique/>
      </w:docPartObj>
    </w:sdtPr>
    <w:sdtEndPr>
      <w:rPr>
        <w:noProof/>
      </w:rPr>
    </w:sdtEndPr>
    <w:sdtContent>
      <w:p w14:paraId="4D173CEF" w14:textId="77777777" w:rsidR="006F4B0B" w:rsidRPr="009F30BC" w:rsidRDefault="006F4B0B">
        <w:pPr>
          <w:pStyle w:val="Footer"/>
          <w:rPr>
            <w:rFonts w:asciiTheme="majorHAnsi" w:hAnsiTheme="majorHAnsi"/>
            <w:sz w:val="20"/>
            <w:szCs w:val="20"/>
          </w:rPr>
        </w:pPr>
        <w:r w:rsidRPr="009F30BC">
          <w:rPr>
            <w:rFonts w:asciiTheme="majorHAnsi" w:hAnsiTheme="majorHAnsi"/>
            <w:sz w:val="20"/>
            <w:szCs w:val="20"/>
          </w:rPr>
          <w:fldChar w:fldCharType="begin"/>
        </w:r>
        <w:r w:rsidRPr="009F30BC">
          <w:rPr>
            <w:rFonts w:asciiTheme="majorHAnsi" w:hAnsiTheme="majorHAnsi"/>
            <w:sz w:val="20"/>
            <w:szCs w:val="20"/>
          </w:rPr>
          <w:instrText xml:space="preserve"> PAGE   \* MERGEFORMAT </w:instrText>
        </w:r>
        <w:r w:rsidRPr="009F30BC">
          <w:rPr>
            <w:rFonts w:asciiTheme="majorHAnsi" w:hAnsiTheme="majorHAnsi"/>
            <w:sz w:val="20"/>
            <w:szCs w:val="20"/>
          </w:rPr>
          <w:fldChar w:fldCharType="separate"/>
        </w:r>
        <w:r w:rsidR="008C080B">
          <w:rPr>
            <w:rFonts w:asciiTheme="majorHAnsi" w:hAnsiTheme="majorHAnsi"/>
            <w:noProof/>
            <w:sz w:val="20"/>
            <w:szCs w:val="20"/>
          </w:rPr>
          <w:t>1</w:t>
        </w:r>
        <w:r w:rsidRPr="009F30BC">
          <w:rPr>
            <w:rFonts w:asciiTheme="majorHAnsi" w:hAnsiTheme="majorHAnsi"/>
            <w:noProof/>
            <w:sz w:val="20"/>
            <w:szCs w:val="20"/>
          </w:rPr>
          <w:fldChar w:fldCharType="end"/>
        </w:r>
      </w:p>
    </w:sdtContent>
  </w:sdt>
  <w:p w14:paraId="0F897B16" w14:textId="77777777" w:rsidR="006F4B0B" w:rsidRDefault="006F4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71ABC" w14:textId="77777777" w:rsidR="006F4B0B" w:rsidRDefault="006F4B0B" w:rsidP="009F30BC">
      <w:r>
        <w:separator/>
      </w:r>
    </w:p>
  </w:footnote>
  <w:footnote w:type="continuationSeparator" w:id="0">
    <w:p w14:paraId="1BA28308" w14:textId="77777777" w:rsidR="006F4B0B" w:rsidRDefault="006F4B0B" w:rsidP="009F30BC">
      <w:r>
        <w:continuationSeparator/>
      </w:r>
    </w:p>
  </w:footnote>
  <w:footnote w:type="continuationNotice" w:id="1">
    <w:p w14:paraId="4041EB16" w14:textId="77777777" w:rsidR="006F4B0B" w:rsidRDefault="006F4B0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64C3"/>
    <w:multiLevelType w:val="hybridMultilevel"/>
    <w:tmpl w:val="C7C8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57D84"/>
    <w:multiLevelType w:val="hybridMultilevel"/>
    <w:tmpl w:val="098E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E5900"/>
    <w:multiLevelType w:val="hybridMultilevel"/>
    <w:tmpl w:val="1B0A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35B17"/>
    <w:multiLevelType w:val="hybridMultilevel"/>
    <w:tmpl w:val="7B748FD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682F16"/>
    <w:multiLevelType w:val="hybridMultilevel"/>
    <w:tmpl w:val="108AC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D64E9"/>
    <w:multiLevelType w:val="hybridMultilevel"/>
    <w:tmpl w:val="0658C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164A7"/>
    <w:multiLevelType w:val="hybridMultilevel"/>
    <w:tmpl w:val="267E2D98"/>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294C0A89"/>
    <w:multiLevelType w:val="hybridMultilevel"/>
    <w:tmpl w:val="B8866BDE"/>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296C607B"/>
    <w:multiLevelType w:val="hybridMultilevel"/>
    <w:tmpl w:val="166ED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84673"/>
    <w:multiLevelType w:val="hybridMultilevel"/>
    <w:tmpl w:val="E5F0C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C4641"/>
    <w:multiLevelType w:val="hybridMultilevel"/>
    <w:tmpl w:val="EDDC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E263B"/>
    <w:multiLevelType w:val="hybridMultilevel"/>
    <w:tmpl w:val="C974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1B0DB8"/>
    <w:multiLevelType w:val="hybridMultilevel"/>
    <w:tmpl w:val="1B8E7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2233F0"/>
    <w:multiLevelType w:val="hybridMultilevel"/>
    <w:tmpl w:val="E22C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0B16DE"/>
    <w:multiLevelType w:val="hybridMultilevel"/>
    <w:tmpl w:val="0C9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03333F"/>
    <w:multiLevelType w:val="hybridMultilevel"/>
    <w:tmpl w:val="72CA2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5718FA"/>
    <w:multiLevelType w:val="hybridMultilevel"/>
    <w:tmpl w:val="3BD840F6"/>
    <w:lvl w:ilvl="0" w:tplc="72244C4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2134A"/>
    <w:multiLevelType w:val="hybridMultilevel"/>
    <w:tmpl w:val="5424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98347F"/>
    <w:multiLevelType w:val="hybridMultilevel"/>
    <w:tmpl w:val="628E3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AB6FE5"/>
    <w:multiLevelType w:val="hybridMultilevel"/>
    <w:tmpl w:val="949E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0647B8"/>
    <w:multiLevelType w:val="hybridMultilevel"/>
    <w:tmpl w:val="22C6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7C6009"/>
    <w:multiLevelType w:val="hybridMultilevel"/>
    <w:tmpl w:val="2546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D747C"/>
    <w:multiLevelType w:val="hybridMultilevel"/>
    <w:tmpl w:val="040A5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BC525C"/>
    <w:multiLevelType w:val="hybridMultilevel"/>
    <w:tmpl w:val="D6C6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724228"/>
    <w:multiLevelType w:val="hybridMultilevel"/>
    <w:tmpl w:val="91C6E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3303A07"/>
    <w:multiLevelType w:val="hybridMultilevel"/>
    <w:tmpl w:val="A09A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43220E"/>
    <w:multiLevelType w:val="hybridMultilevel"/>
    <w:tmpl w:val="31A4C1C2"/>
    <w:lvl w:ilvl="0" w:tplc="C672B8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6"/>
  </w:num>
  <w:num w:numId="4">
    <w:abstractNumId w:val="7"/>
  </w:num>
  <w:num w:numId="5">
    <w:abstractNumId w:val="2"/>
  </w:num>
  <w:num w:numId="6">
    <w:abstractNumId w:val="13"/>
  </w:num>
  <w:num w:numId="7">
    <w:abstractNumId w:val="16"/>
  </w:num>
  <w:num w:numId="8">
    <w:abstractNumId w:val="1"/>
  </w:num>
  <w:num w:numId="9">
    <w:abstractNumId w:val="22"/>
  </w:num>
  <w:num w:numId="10">
    <w:abstractNumId w:val="5"/>
  </w:num>
  <w:num w:numId="11">
    <w:abstractNumId w:val="18"/>
  </w:num>
  <w:num w:numId="12">
    <w:abstractNumId w:val="26"/>
  </w:num>
  <w:num w:numId="13">
    <w:abstractNumId w:val="21"/>
  </w:num>
  <w:num w:numId="14">
    <w:abstractNumId w:val="24"/>
  </w:num>
  <w:num w:numId="15">
    <w:abstractNumId w:val="3"/>
  </w:num>
  <w:num w:numId="16">
    <w:abstractNumId w:val="19"/>
  </w:num>
  <w:num w:numId="17">
    <w:abstractNumId w:val="10"/>
  </w:num>
  <w:num w:numId="18">
    <w:abstractNumId w:val="11"/>
  </w:num>
  <w:num w:numId="19">
    <w:abstractNumId w:val="17"/>
  </w:num>
  <w:num w:numId="20">
    <w:abstractNumId w:val="25"/>
  </w:num>
  <w:num w:numId="21">
    <w:abstractNumId w:val="14"/>
  </w:num>
  <w:num w:numId="22">
    <w:abstractNumId w:val="4"/>
  </w:num>
  <w:num w:numId="23">
    <w:abstractNumId w:val="20"/>
  </w:num>
  <w:num w:numId="24">
    <w:abstractNumId w:val="0"/>
  </w:num>
  <w:num w:numId="25">
    <w:abstractNumId w:val="15"/>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A8"/>
    <w:rsid w:val="00010221"/>
    <w:rsid w:val="00043289"/>
    <w:rsid w:val="000A7C7A"/>
    <w:rsid w:val="000B6AB9"/>
    <w:rsid w:val="00101C73"/>
    <w:rsid w:val="00105F56"/>
    <w:rsid w:val="001250FE"/>
    <w:rsid w:val="00152AE5"/>
    <w:rsid w:val="001813A1"/>
    <w:rsid w:val="001C26BD"/>
    <w:rsid w:val="001F02A8"/>
    <w:rsid w:val="00217E39"/>
    <w:rsid w:val="00223CC9"/>
    <w:rsid w:val="00231C89"/>
    <w:rsid w:val="00241110"/>
    <w:rsid w:val="00254DE5"/>
    <w:rsid w:val="002979E7"/>
    <w:rsid w:val="002A2158"/>
    <w:rsid w:val="002A4592"/>
    <w:rsid w:val="002B53A2"/>
    <w:rsid w:val="002B64E4"/>
    <w:rsid w:val="002C6409"/>
    <w:rsid w:val="002E7668"/>
    <w:rsid w:val="00313190"/>
    <w:rsid w:val="00313966"/>
    <w:rsid w:val="00316E8E"/>
    <w:rsid w:val="00412DEE"/>
    <w:rsid w:val="00413F92"/>
    <w:rsid w:val="00422A45"/>
    <w:rsid w:val="00427CFF"/>
    <w:rsid w:val="004D28C8"/>
    <w:rsid w:val="004F440F"/>
    <w:rsid w:val="0054636D"/>
    <w:rsid w:val="00583C79"/>
    <w:rsid w:val="00594570"/>
    <w:rsid w:val="005B14F8"/>
    <w:rsid w:val="005C52FB"/>
    <w:rsid w:val="005E4821"/>
    <w:rsid w:val="00627642"/>
    <w:rsid w:val="00641213"/>
    <w:rsid w:val="00697223"/>
    <w:rsid w:val="006E7DA1"/>
    <w:rsid w:val="006F4B0B"/>
    <w:rsid w:val="007550A7"/>
    <w:rsid w:val="007831A5"/>
    <w:rsid w:val="007A10A8"/>
    <w:rsid w:val="007B3605"/>
    <w:rsid w:val="007E36F6"/>
    <w:rsid w:val="007F5866"/>
    <w:rsid w:val="008074FD"/>
    <w:rsid w:val="0082113C"/>
    <w:rsid w:val="008A7998"/>
    <w:rsid w:val="008B79F7"/>
    <w:rsid w:val="008C080B"/>
    <w:rsid w:val="008D2048"/>
    <w:rsid w:val="008F7126"/>
    <w:rsid w:val="00902DBD"/>
    <w:rsid w:val="00921349"/>
    <w:rsid w:val="00927BD7"/>
    <w:rsid w:val="009C11B6"/>
    <w:rsid w:val="009F30BC"/>
    <w:rsid w:val="009F387F"/>
    <w:rsid w:val="009F77FF"/>
    <w:rsid w:val="00A1458D"/>
    <w:rsid w:val="00A24119"/>
    <w:rsid w:val="00A33CEC"/>
    <w:rsid w:val="00B2580E"/>
    <w:rsid w:val="00B75B68"/>
    <w:rsid w:val="00B819C2"/>
    <w:rsid w:val="00B924F7"/>
    <w:rsid w:val="00BC1CCC"/>
    <w:rsid w:val="00BD2B24"/>
    <w:rsid w:val="00BD602B"/>
    <w:rsid w:val="00C0547B"/>
    <w:rsid w:val="00C10BCD"/>
    <w:rsid w:val="00C228DE"/>
    <w:rsid w:val="00C36771"/>
    <w:rsid w:val="00C52391"/>
    <w:rsid w:val="00CC067E"/>
    <w:rsid w:val="00CF127A"/>
    <w:rsid w:val="00D04202"/>
    <w:rsid w:val="00D25673"/>
    <w:rsid w:val="00D3026D"/>
    <w:rsid w:val="00DB12AA"/>
    <w:rsid w:val="00E32002"/>
    <w:rsid w:val="00E474A5"/>
    <w:rsid w:val="00E97169"/>
    <w:rsid w:val="00E97393"/>
    <w:rsid w:val="00EA49A1"/>
    <w:rsid w:val="00EB7438"/>
    <w:rsid w:val="00F47A5C"/>
    <w:rsid w:val="00F9353A"/>
    <w:rsid w:val="00FA0046"/>
    <w:rsid w:val="00FA0177"/>
    <w:rsid w:val="00FB283B"/>
    <w:rsid w:val="00FF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0B6AB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739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393"/>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02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02A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B75B68"/>
    <w:rPr>
      <w:strike w:val="0"/>
      <w:dstrike w:val="0"/>
      <w:color w:val="478FA9"/>
      <w:u w:val="none"/>
      <w:effect w:val="none"/>
    </w:rPr>
  </w:style>
  <w:style w:type="paragraph" w:styleId="NormalWeb">
    <w:name w:val="Normal (Web)"/>
    <w:basedOn w:val="Normal"/>
    <w:uiPriority w:val="99"/>
    <w:semiHidden/>
    <w:unhideWhenUsed/>
    <w:rsid w:val="00B75B68"/>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6AB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A10A8"/>
    <w:pPr>
      <w:ind w:left="720"/>
      <w:contextualSpacing/>
    </w:pPr>
  </w:style>
  <w:style w:type="paragraph" w:styleId="BalloonText">
    <w:name w:val="Balloon Text"/>
    <w:basedOn w:val="Normal"/>
    <w:link w:val="BalloonTextChar"/>
    <w:uiPriority w:val="99"/>
    <w:semiHidden/>
    <w:unhideWhenUsed/>
    <w:rsid w:val="007A10A8"/>
    <w:rPr>
      <w:rFonts w:ascii="Tahoma" w:hAnsi="Tahoma" w:cs="Tahoma"/>
      <w:sz w:val="16"/>
      <w:szCs w:val="16"/>
    </w:rPr>
  </w:style>
  <w:style w:type="character" w:customStyle="1" w:styleId="BalloonTextChar">
    <w:name w:val="Balloon Text Char"/>
    <w:basedOn w:val="DefaultParagraphFont"/>
    <w:link w:val="BalloonText"/>
    <w:uiPriority w:val="99"/>
    <w:semiHidden/>
    <w:rsid w:val="007A10A8"/>
    <w:rPr>
      <w:rFonts w:ascii="Tahoma" w:hAnsi="Tahoma" w:cs="Tahoma"/>
      <w:sz w:val="16"/>
      <w:szCs w:val="16"/>
    </w:rPr>
  </w:style>
  <w:style w:type="paragraph" w:styleId="Header">
    <w:name w:val="header"/>
    <w:basedOn w:val="Normal"/>
    <w:link w:val="HeaderChar"/>
    <w:uiPriority w:val="99"/>
    <w:unhideWhenUsed/>
    <w:rsid w:val="009F30BC"/>
    <w:pPr>
      <w:tabs>
        <w:tab w:val="center" w:pos="4680"/>
        <w:tab w:val="right" w:pos="9360"/>
      </w:tabs>
    </w:pPr>
  </w:style>
  <w:style w:type="character" w:customStyle="1" w:styleId="HeaderChar">
    <w:name w:val="Header Char"/>
    <w:basedOn w:val="DefaultParagraphFont"/>
    <w:link w:val="Header"/>
    <w:uiPriority w:val="99"/>
    <w:rsid w:val="009F30BC"/>
  </w:style>
  <w:style w:type="paragraph" w:styleId="Footer">
    <w:name w:val="footer"/>
    <w:basedOn w:val="Normal"/>
    <w:link w:val="FooterChar"/>
    <w:uiPriority w:val="99"/>
    <w:unhideWhenUsed/>
    <w:rsid w:val="009F30BC"/>
    <w:pPr>
      <w:tabs>
        <w:tab w:val="center" w:pos="4680"/>
        <w:tab w:val="right" w:pos="9360"/>
      </w:tabs>
    </w:pPr>
  </w:style>
  <w:style w:type="character" w:customStyle="1" w:styleId="FooterChar">
    <w:name w:val="Footer Char"/>
    <w:basedOn w:val="DefaultParagraphFont"/>
    <w:link w:val="Footer"/>
    <w:uiPriority w:val="99"/>
    <w:rsid w:val="009F30BC"/>
  </w:style>
  <w:style w:type="character" w:customStyle="1" w:styleId="apple-converted-space">
    <w:name w:val="apple-converted-space"/>
    <w:basedOn w:val="DefaultParagraphFont"/>
    <w:rsid w:val="00CC067E"/>
  </w:style>
  <w:style w:type="paragraph" w:styleId="FootnoteText">
    <w:name w:val="footnote text"/>
    <w:basedOn w:val="Normal"/>
    <w:link w:val="FootnoteTextChar"/>
    <w:uiPriority w:val="99"/>
    <w:semiHidden/>
    <w:unhideWhenUsed/>
    <w:rsid w:val="00FB283B"/>
    <w:rPr>
      <w:sz w:val="20"/>
      <w:szCs w:val="20"/>
    </w:rPr>
  </w:style>
  <w:style w:type="character" w:customStyle="1" w:styleId="FootnoteTextChar">
    <w:name w:val="Footnote Text Char"/>
    <w:basedOn w:val="DefaultParagraphFont"/>
    <w:link w:val="FootnoteText"/>
    <w:uiPriority w:val="99"/>
    <w:semiHidden/>
    <w:rsid w:val="00FB283B"/>
    <w:rPr>
      <w:sz w:val="20"/>
      <w:szCs w:val="20"/>
    </w:rPr>
  </w:style>
  <w:style w:type="character" w:styleId="FootnoteReference">
    <w:name w:val="footnote reference"/>
    <w:basedOn w:val="DefaultParagraphFont"/>
    <w:uiPriority w:val="99"/>
    <w:semiHidden/>
    <w:unhideWhenUsed/>
    <w:rsid w:val="00FB283B"/>
    <w:rPr>
      <w:vertAlign w:val="superscript"/>
    </w:rPr>
  </w:style>
  <w:style w:type="character" w:styleId="CommentReference">
    <w:name w:val="annotation reference"/>
    <w:basedOn w:val="DefaultParagraphFont"/>
    <w:uiPriority w:val="99"/>
    <w:semiHidden/>
    <w:unhideWhenUsed/>
    <w:rsid w:val="009C11B6"/>
    <w:rPr>
      <w:sz w:val="16"/>
      <w:szCs w:val="16"/>
    </w:rPr>
  </w:style>
  <w:style w:type="paragraph" w:styleId="CommentText">
    <w:name w:val="annotation text"/>
    <w:basedOn w:val="Normal"/>
    <w:link w:val="CommentTextChar"/>
    <w:uiPriority w:val="99"/>
    <w:semiHidden/>
    <w:unhideWhenUsed/>
    <w:rsid w:val="009C11B6"/>
    <w:rPr>
      <w:sz w:val="20"/>
      <w:szCs w:val="20"/>
    </w:rPr>
  </w:style>
  <w:style w:type="character" w:customStyle="1" w:styleId="CommentTextChar">
    <w:name w:val="Comment Text Char"/>
    <w:basedOn w:val="DefaultParagraphFont"/>
    <w:link w:val="CommentText"/>
    <w:uiPriority w:val="99"/>
    <w:semiHidden/>
    <w:rsid w:val="009C11B6"/>
    <w:rPr>
      <w:sz w:val="20"/>
      <w:szCs w:val="20"/>
    </w:rPr>
  </w:style>
  <w:style w:type="paragraph" w:styleId="CommentSubject">
    <w:name w:val="annotation subject"/>
    <w:basedOn w:val="CommentText"/>
    <w:next w:val="CommentText"/>
    <w:link w:val="CommentSubjectChar"/>
    <w:uiPriority w:val="99"/>
    <w:semiHidden/>
    <w:unhideWhenUsed/>
    <w:rsid w:val="009C11B6"/>
    <w:rPr>
      <w:b/>
      <w:bCs/>
    </w:rPr>
  </w:style>
  <w:style w:type="character" w:customStyle="1" w:styleId="CommentSubjectChar">
    <w:name w:val="Comment Subject Char"/>
    <w:basedOn w:val="CommentTextChar"/>
    <w:link w:val="CommentSubject"/>
    <w:uiPriority w:val="99"/>
    <w:semiHidden/>
    <w:rsid w:val="009C11B6"/>
    <w:rPr>
      <w:b/>
      <w:bCs/>
      <w:sz w:val="20"/>
      <w:szCs w:val="20"/>
    </w:rPr>
  </w:style>
  <w:style w:type="paragraph" w:styleId="TOCHeading">
    <w:name w:val="TOC Heading"/>
    <w:basedOn w:val="Heading1"/>
    <w:next w:val="Normal"/>
    <w:uiPriority w:val="39"/>
    <w:semiHidden/>
    <w:unhideWhenUsed/>
    <w:qFormat/>
    <w:rsid w:val="00E32002"/>
    <w:pPr>
      <w:outlineLvl w:val="9"/>
    </w:pPr>
    <w:rPr>
      <w:lang w:eastAsia="ja-JP"/>
    </w:rPr>
  </w:style>
  <w:style w:type="paragraph" w:styleId="TOC1">
    <w:name w:val="toc 1"/>
    <w:basedOn w:val="Normal"/>
    <w:next w:val="Normal"/>
    <w:autoRedefine/>
    <w:uiPriority w:val="39"/>
    <w:unhideWhenUsed/>
    <w:rsid w:val="00E32002"/>
    <w:pPr>
      <w:spacing w:after="100"/>
    </w:pPr>
  </w:style>
  <w:style w:type="paragraph" w:styleId="Caption">
    <w:name w:val="caption"/>
    <w:basedOn w:val="Normal"/>
    <w:next w:val="Normal"/>
    <w:uiPriority w:val="35"/>
    <w:unhideWhenUsed/>
    <w:qFormat/>
    <w:rsid w:val="00E32002"/>
    <w:pPr>
      <w:spacing w:after="200"/>
    </w:pPr>
    <w:rPr>
      <w:rFonts w:ascii="Cambria" w:hAnsi="Cambria"/>
      <w:b/>
      <w:bCs/>
      <w:color w:val="4F81BD" w:themeColor="accent1"/>
      <w:sz w:val="18"/>
      <w:szCs w:val="18"/>
    </w:rPr>
  </w:style>
  <w:style w:type="paragraph" w:styleId="EndnoteText">
    <w:name w:val="endnote text"/>
    <w:basedOn w:val="Normal"/>
    <w:link w:val="EndnoteTextChar"/>
    <w:uiPriority w:val="99"/>
    <w:semiHidden/>
    <w:unhideWhenUsed/>
    <w:rsid w:val="00E32002"/>
    <w:rPr>
      <w:rFonts w:ascii="Cambria" w:hAnsi="Cambria"/>
      <w:sz w:val="20"/>
      <w:szCs w:val="20"/>
    </w:rPr>
  </w:style>
  <w:style w:type="character" w:customStyle="1" w:styleId="EndnoteTextChar">
    <w:name w:val="Endnote Text Char"/>
    <w:basedOn w:val="DefaultParagraphFont"/>
    <w:link w:val="EndnoteText"/>
    <w:uiPriority w:val="99"/>
    <w:semiHidden/>
    <w:rsid w:val="00E32002"/>
    <w:rPr>
      <w:rFonts w:ascii="Cambria" w:hAnsi="Cambria"/>
      <w:sz w:val="20"/>
      <w:szCs w:val="20"/>
    </w:rPr>
  </w:style>
  <w:style w:type="character" w:styleId="EndnoteReference">
    <w:name w:val="endnote reference"/>
    <w:basedOn w:val="DefaultParagraphFont"/>
    <w:uiPriority w:val="99"/>
    <w:semiHidden/>
    <w:unhideWhenUsed/>
    <w:rsid w:val="00E32002"/>
    <w:rPr>
      <w:vertAlign w:val="superscript"/>
    </w:rPr>
  </w:style>
  <w:style w:type="paragraph" w:styleId="TOC2">
    <w:name w:val="toc 2"/>
    <w:basedOn w:val="Normal"/>
    <w:next w:val="Normal"/>
    <w:autoRedefine/>
    <w:uiPriority w:val="39"/>
    <w:unhideWhenUsed/>
    <w:rsid w:val="00254DE5"/>
    <w:pPr>
      <w:spacing w:after="100"/>
      <w:ind w:left="220"/>
    </w:pPr>
  </w:style>
  <w:style w:type="paragraph" w:styleId="TOC3">
    <w:name w:val="toc 3"/>
    <w:basedOn w:val="Normal"/>
    <w:next w:val="Normal"/>
    <w:autoRedefine/>
    <w:uiPriority w:val="39"/>
    <w:unhideWhenUsed/>
    <w:rsid w:val="00254DE5"/>
    <w:pPr>
      <w:spacing w:after="100"/>
      <w:ind w:left="440"/>
    </w:pPr>
  </w:style>
  <w:style w:type="character" w:customStyle="1" w:styleId="Heading2Char">
    <w:name w:val="Heading 2 Char"/>
    <w:basedOn w:val="DefaultParagraphFont"/>
    <w:link w:val="Heading2"/>
    <w:uiPriority w:val="9"/>
    <w:rsid w:val="00E973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7393"/>
    <w:rPr>
      <w:rFonts w:asciiTheme="majorHAnsi" w:eastAsiaTheme="majorEastAsia" w:hAnsiTheme="majorHAnsi" w:cstheme="majorBidi"/>
      <w:b/>
      <w:bCs/>
      <w:color w:val="4F81BD" w:themeColor="accent1"/>
    </w:rPr>
  </w:style>
  <w:style w:type="paragraph" w:customStyle="1" w:styleId="Default">
    <w:name w:val="Default"/>
    <w:rsid w:val="00101C73"/>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0B6AB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739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393"/>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02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02A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B75B68"/>
    <w:rPr>
      <w:strike w:val="0"/>
      <w:dstrike w:val="0"/>
      <w:color w:val="478FA9"/>
      <w:u w:val="none"/>
      <w:effect w:val="none"/>
    </w:rPr>
  </w:style>
  <w:style w:type="paragraph" w:styleId="NormalWeb">
    <w:name w:val="Normal (Web)"/>
    <w:basedOn w:val="Normal"/>
    <w:uiPriority w:val="99"/>
    <w:semiHidden/>
    <w:unhideWhenUsed/>
    <w:rsid w:val="00B75B68"/>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6AB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A10A8"/>
    <w:pPr>
      <w:ind w:left="720"/>
      <w:contextualSpacing/>
    </w:pPr>
  </w:style>
  <w:style w:type="paragraph" w:styleId="BalloonText">
    <w:name w:val="Balloon Text"/>
    <w:basedOn w:val="Normal"/>
    <w:link w:val="BalloonTextChar"/>
    <w:uiPriority w:val="99"/>
    <w:semiHidden/>
    <w:unhideWhenUsed/>
    <w:rsid w:val="007A10A8"/>
    <w:rPr>
      <w:rFonts w:ascii="Tahoma" w:hAnsi="Tahoma" w:cs="Tahoma"/>
      <w:sz w:val="16"/>
      <w:szCs w:val="16"/>
    </w:rPr>
  </w:style>
  <w:style w:type="character" w:customStyle="1" w:styleId="BalloonTextChar">
    <w:name w:val="Balloon Text Char"/>
    <w:basedOn w:val="DefaultParagraphFont"/>
    <w:link w:val="BalloonText"/>
    <w:uiPriority w:val="99"/>
    <w:semiHidden/>
    <w:rsid w:val="007A10A8"/>
    <w:rPr>
      <w:rFonts w:ascii="Tahoma" w:hAnsi="Tahoma" w:cs="Tahoma"/>
      <w:sz w:val="16"/>
      <w:szCs w:val="16"/>
    </w:rPr>
  </w:style>
  <w:style w:type="paragraph" w:styleId="Header">
    <w:name w:val="header"/>
    <w:basedOn w:val="Normal"/>
    <w:link w:val="HeaderChar"/>
    <w:uiPriority w:val="99"/>
    <w:unhideWhenUsed/>
    <w:rsid w:val="009F30BC"/>
    <w:pPr>
      <w:tabs>
        <w:tab w:val="center" w:pos="4680"/>
        <w:tab w:val="right" w:pos="9360"/>
      </w:tabs>
    </w:pPr>
  </w:style>
  <w:style w:type="character" w:customStyle="1" w:styleId="HeaderChar">
    <w:name w:val="Header Char"/>
    <w:basedOn w:val="DefaultParagraphFont"/>
    <w:link w:val="Header"/>
    <w:uiPriority w:val="99"/>
    <w:rsid w:val="009F30BC"/>
  </w:style>
  <w:style w:type="paragraph" w:styleId="Footer">
    <w:name w:val="footer"/>
    <w:basedOn w:val="Normal"/>
    <w:link w:val="FooterChar"/>
    <w:uiPriority w:val="99"/>
    <w:unhideWhenUsed/>
    <w:rsid w:val="009F30BC"/>
    <w:pPr>
      <w:tabs>
        <w:tab w:val="center" w:pos="4680"/>
        <w:tab w:val="right" w:pos="9360"/>
      </w:tabs>
    </w:pPr>
  </w:style>
  <w:style w:type="character" w:customStyle="1" w:styleId="FooterChar">
    <w:name w:val="Footer Char"/>
    <w:basedOn w:val="DefaultParagraphFont"/>
    <w:link w:val="Footer"/>
    <w:uiPriority w:val="99"/>
    <w:rsid w:val="009F30BC"/>
  </w:style>
  <w:style w:type="character" w:customStyle="1" w:styleId="apple-converted-space">
    <w:name w:val="apple-converted-space"/>
    <w:basedOn w:val="DefaultParagraphFont"/>
    <w:rsid w:val="00CC067E"/>
  </w:style>
  <w:style w:type="paragraph" w:styleId="FootnoteText">
    <w:name w:val="footnote text"/>
    <w:basedOn w:val="Normal"/>
    <w:link w:val="FootnoteTextChar"/>
    <w:uiPriority w:val="99"/>
    <w:semiHidden/>
    <w:unhideWhenUsed/>
    <w:rsid w:val="00FB283B"/>
    <w:rPr>
      <w:sz w:val="20"/>
      <w:szCs w:val="20"/>
    </w:rPr>
  </w:style>
  <w:style w:type="character" w:customStyle="1" w:styleId="FootnoteTextChar">
    <w:name w:val="Footnote Text Char"/>
    <w:basedOn w:val="DefaultParagraphFont"/>
    <w:link w:val="FootnoteText"/>
    <w:uiPriority w:val="99"/>
    <w:semiHidden/>
    <w:rsid w:val="00FB283B"/>
    <w:rPr>
      <w:sz w:val="20"/>
      <w:szCs w:val="20"/>
    </w:rPr>
  </w:style>
  <w:style w:type="character" w:styleId="FootnoteReference">
    <w:name w:val="footnote reference"/>
    <w:basedOn w:val="DefaultParagraphFont"/>
    <w:uiPriority w:val="99"/>
    <w:semiHidden/>
    <w:unhideWhenUsed/>
    <w:rsid w:val="00FB283B"/>
    <w:rPr>
      <w:vertAlign w:val="superscript"/>
    </w:rPr>
  </w:style>
  <w:style w:type="character" w:styleId="CommentReference">
    <w:name w:val="annotation reference"/>
    <w:basedOn w:val="DefaultParagraphFont"/>
    <w:uiPriority w:val="99"/>
    <w:semiHidden/>
    <w:unhideWhenUsed/>
    <w:rsid w:val="009C11B6"/>
    <w:rPr>
      <w:sz w:val="16"/>
      <w:szCs w:val="16"/>
    </w:rPr>
  </w:style>
  <w:style w:type="paragraph" w:styleId="CommentText">
    <w:name w:val="annotation text"/>
    <w:basedOn w:val="Normal"/>
    <w:link w:val="CommentTextChar"/>
    <w:uiPriority w:val="99"/>
    <w:semiHidden/>
    <w:unhideWhenUsed/>
    <w:rsid w:val="009C11B6"/>
    <w:rPr>
      <w:sz w:val="20"/>
      <w:szCs w:val="20"/>
    </w:rPr>
  </w:style>
  <w:style w:type="character" w:customStyle="1" w:styleId="CommentTextChar">
    <w:name w:val="Comment Text Char"/>
    <w:basedOn w:val="DefaultParagraphFont"/>
    <w:link w:val="CommentText"/>
    <w:uiPriority w:val="99"/>
    <w:semiHidden/>
    <w:rsid w:val="009C11B6"/>
    <w:rPr>
      <w:sz w:val="20"/>
      <w:szCs w:val="20"/>
    </w:rPr>
  </w:style>
  <w:style w:type="paragraph" w:styleId="CommentSubject">
    <w:name w:val="annotation subject"/>
    <w:basedOn w:val="CommentText"/>
    <w:next w:val="CommentText"/>
    <w:link w:val="CommentSubjectChar"/>
    <w:uiPriority w:val="99"/>
    <w:semiHidden/>
    <w:unhideWhenUsed/>
    <w:rsid w:val="009C11B6"/>
    <w:rPr>
      <w:b/>
      <w:bCs/>
    </w:rPr>
  </w:style>
  <w:style w:type="character" w:customStyle="1" w:styleId="CommentSubjectChar">
    <w:name w:val="Comment Subject Char"/>
    <w:basedOn w:val="CommentTextChar"/>
    <w:link w:val="CommentSubject"/>
    <w:uiPriority w:val="99"/>
    <w:semiHidden/>
    <w:rsid w:val="009C11B6"/>
    <w:rPr>
      <w:b/>
      <w:bCs/>
      <w:sz w:val="20"/>
      <w:szCs w:val="20"/>
    </w:rPr>
  </w:style>
  <w:style w:type="paragraph" w:styleId="TOCHeading">
    <w:name w:val="TOC Heading"/>
    <w:basedOn w:val="Heading1"/>
    <w:next w:val="Normal"/>
    <w:uiPriority w:val="39"/>
    <w:semiHidden/>
    <w:unhideWhenUsed/>
    <w:qFormat/>
    <w:rsid w:val="00E32002"/>
    <w:pPr>
      <w:outlineLvl w:val="9"/>
    </w:pPr>
    <w:rPr>
      <w:lang w:eastAsia="ja-JP"/>
    </w:rPr>
  </w:style>
  <w:style w:type="paragraph" w:styleId="TOC1">
    <w:name w:val="toc 1"/>
    <w:basedOn w:val="Normal"/>
    <w:next w:val="Normal"/>
    <w:autoRedefine/>
    <w:uiPriority w:val="39"/>
    <w:unhideWhenUsed/>
    <w:rsid w:val="00E32002"/>
    <w:pPr>
      <w:spacing w:after="100"/>
    </w:pPr>
  </w:style>
  <w:style w:type="paragraph" w:styleId="Caption">
    <w:name w:val="caption"/>
    <w:basedOn w:val="Normal"/>
    <w:next w:val="Normal"/>
    <w:uiPriority w:val="35"/>
    <w:unhideWhenUsed/>
    <w:qFormat/>
    <w:rsid w:val="00E32002"/>
    <w:pPr>
      <w:spacing w:after="200"/>
    </w:pPr>
    <w:rPr>
      <w:rFonts w:ascii="Cambria" w:hAnsi="Cambria"/>
      <w:b/>
      <w:bCs/>
      <w:color w:val="4F81BD" w:themeColor="accent1"/>
      <w:sz w:val="18"/>
      <w:szCs w:val="18"/>
    </w:rPr>
  </w:style>
  <w:style w:type="paragraph" w:styleId="EndnoteText">
    <w:name w:val="endnote text"/>
    <w:basedOn w:val="Normal"/>
    <w:link w:val="EndnoteTextChar"/>
    <w:uiPriority w:val="99"/>
    <w:semiHidden/>
    <w:unhideWhenUsed/>
    <w:rsid w:val="00E32002"/>
    <w:rPr>
      <w:rFonts w:ascii="Cambria" w:hAnsi="Cambria"/>
      <w:sz w:val="20"/>
      <w:szCs w:val="20"/>
    </w:rPr>
  </w:style>
  <w:style w:type="character" w:customStyle="1" w:styleId="EndnoteTextChar">
    <w:name w:val="Endnote Text Char"/>
    <w:basedOn w:val="DefaultParagraphFont"/>
    <w:link w:val="EndnoteText"/>
    <w:uiPriority w:val="99"/>
    <w:semiHidden/>
    <w:rsid w:val="00E32002"/>
    <w:rPr>
      <w:rFonts w:ascii="Cambria" w:hAnsi="Cambria"/>
      <w:sz w:val="20"/>
      <w:szCs w:val="20"/>
    </w:rPr>
  </w:style>
  <w:style w:type="character" w:styleId="EndnoteReference">
    <w:name w:val="endnote reference"/>
    <w:basedOn w:val="DefaultParagraphFont"/>
    <w:uiPriority w:val="99"/>
    <w:semiHidden/>
    <w:unhideWhenUsed/>
    <w:rsid w:val="00E32002"/>
    <w:rPr>
      <w:vertAlign w:val="superscript"/>
    </w:rPr>
  </w:style>
  <w:style w:type="paragraph" w:styleId="TOC2">
    <w:name w:val="toc 2"/>
    <w:basedOn w:val="Normal"/>
    <w:next w:val="Normal"/>
    <w:autoRedefine/>
    <w:uiPriority w:val="39"/>
    <w:unhideWhenUsed/>
    <w:rsid w:val="00254DE5"/>
    <w:pPr>
      <w:spacing w:after="100"/>
      <w:ind w:left="220"/>
    </w:pPr>
  </w:style>
  <w:style w:type="paragraph" w:styleId="TOC3">
    <w:name w:val="toc 3"/>
    <w:basedOn w:val="Normal"/>
    <w:next w:val="Normal"/>
    <w:autoRedefine/>
    <w:uiPriority w:val="39"/>
    <w:unhideWhenUsed/>
    <w:rsid w:val="00254DE5"/>
    <w:pPr>
      <w:spacing w:after="100"/>
      <w:ind w:left="440"/>
    </w:pPr>
  </w:style>
  <w:style w:type="character" w:customStyle="1" w:styleId="Heading2Char">
    <w:name w:val="Heading 2 Char"/>
    <w:basedOn w:val="DefaultParagraphFont"/>
    <w:link w:val="Heading2"/>
    <w:uiPriority w:val="9"/>
    <w:rsid w:val="00E973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7393"/>
    <w:rPr>
      <w:rFonts w:asciiTheme="majorHAnsi" w:eastAsiaTheme="majorEastAsia" w:hAnsiTheme="majorHAnsi" w:cstheme="majorBidi"/>
      <w:b/>
      <w:bCs/>
      <w:color w:val="4F81BD" w:themeColor="accent1"/>
    </w:rPr>
  </w:style>
  <w:style w:type="paragraph" w:customStyle="1" w:styleId="Default">
    <w:name w:val="Default"/>
    <w:rsid w:val="00101C73"/>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microsoft.com/office/2007/relationships/stylesWithEffects" Target="stylesWithEffects.xml"/><Relationship Id="rId15" Type="http://schemas.microsoft.com/office/2007/relationships/diagramDrawing" Target="diagrams/drawing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91305E-827B-4164-84B9-37A1EA20B54C}" type="doc">
      <dgm:prSet loTypeId="urn:microsoft.com/office/officeart/2008/layout/RadialCluster" loCatId="cycle" qsTypeId="urn:microsoft.com/office/officeart/2005/8/quickstyle/simple1" qsCatId="simple" csTypeId="urn:microsoft.com/office/officeart/2005/8/colors/colorful2" csCatId="colorful" phldr="1"/>
      <dgm:spPr/>
      <dgm:t>
        <a:bodyPr/>
        <a:lstStyle/>
        <a:p>
          <a:endParaRPr lang="en-US"/>
        </a:p>
      </dgm:t>
    </dgm:pt>
    <dgm:pt modelId="{643E1C2B-270A-45A4-9344-12EFF9850E1C}">
      <dgm:prSet phldrT="[Text]"/>
      <dgm:spPr>
        <a:xfrm>
          <a:off x="2126690" y="1747762"/>
          <a:ext cx="1174432" cy="1174432"/>
        </a:xfrm>
      </dgm:spPr>
      <dgm:t>
        <a:bodyPr/>
        <a:lstStyle/>
        <a:p>
          <a:r>
            <a:rPr lang="en-US" b="1">
              <a:latin typeface="Calibri"/>
              <a:ea typeface="+mn-ea"/>
              <a:cs typeface="+mn-cs"/>
            </a:rPr>
            <a:t>Directing Policy Towards Impact at Scale</a:t>
          </a:r>
        </a:p>
      </dgm:t>
    </dgm:pt>
    <dgm:pt modelId="{FA3F5E5E-E930-408C-9F2D-C1C5841751CF}" type="parTrans" cxnId="{BE5B2E51-B44D-408B-8EB8-4642E0515645}">
      <dgm:prSet/>
      <dgm:spPr/>
      <dgm:t>
        <a:bodyPr/>
        <a:lstStyle/>
        <a:p>
          <a:endParaRPr lang="en-US"/>
        </a:p>
      </dgm:t>
    </dgm:pt>
    <dgm:pt modelId="{8DD88C96-AE5B-4A92-9F48-E0E39D796EE2}" type="sibTrans" cxnId="{BE5B2E51-B44D-408B-8EB8-4642E0515645}">
      <dgm:prSet/>
      <dgm:spPr/>
      <dgm:t>
        <a:bodyPr/>
        <a:lstStyle/>
        <a:p>
          <a:endParaRPr lang="en-US"/>
        </a:p>
      </dgm:t>
    </dgm:pt>
    <dgm:pt modelId="{7F9B8CB3-1087-4A57-ABA1-6D5EA1EEE863}">
      <dgm:prSet phldrT="[Text]" custT="1"/>
      <dgm:spPr>
        <a:xfrm>
          <a:off x="1904995" y="51551"/>
          <a:ext cx="1597872" cy="1359695"/>
        </a:xfrm>
      </dgm:spPr>
      <dgm:t>
        <a:bodyPr/>
        <a:lstStyle/>
        <a:p>
          <a:pPr>
            <a:lnSpc>
              <a:spcPct val="100000"/>
            </a:lnSpc>
            <a:spcAft>
              <a:spcPts val="0"/>
            </a:spcAft>
          </a:pPr>
          <a:r>
            <a:rPr lang="en-US" sz="2000" b="1">
              <a:latin typeface="Calibri"/>
              <a:ea typeface="+mn-ea"/>
              <a:cs typeface="+mn-cs"/>
            </a:rPr>
            <a:t>Policy </a:t>
          </a:r>
        </a:p>
        <a:p>
          <a:pPr>
            <a:lnSpc>
              <a:spcPct val="90000"/>
            </a:lnSpc>
            <a:spcAft>
              <a:spcPct val="35000"/>
            </a:spcAft>
          </a:pPr>
          <a:r>
            <a:rPr lang="en-US" sz="2000" b="1">
              <a:latin typeface="Calibri"/>
              <a:ea typeface="+mn-ea"/>
              <a:cs typeface="+mn-cs"/>
            </a:rPr>
            <a:t>Agenda</a:t>
          </a:r>
        </a:p>
      </dgm:t>
    </dgm:pt>
    <dgm:pt modelId="{8D096EAC-006D-4961-BFF6-27F13810D644}" type="parTrans" cxnId="{CF978934-16FB-4FC8-98B6-ED23B8E4C215}">
      <dgm:prSet/>
      <dgm:spPr>
        <a:xfrm rot="16178616">
          <a:off x="2540945" y="1579504"/>
          <a:ext cx="336523" cy="0"/>
        </a:xfrm>
      </dgm:spPr>
      <dgm:t>
        <a:bodyPr/>
        <a:lstStyle/>
        <a:p>
          <a:endParaRPr lang="en-US"/>
        </a:p>
      </dgm:t>
    </dgm:pt>
    <dgm:pt modelId="{EFAC624F-3F91-4A9C-BE5C-0410B917F7FB}" type="sibTrans" cxnId="{CF978934-16FB-4FC8-98B6-ED23B8E4C215}">
      <dgm:prSet/>
      <dgm:spPr/>
      <dgm:t>
        <a:bodyPr/>
        <a:lstStyle/>
        <a:p>
          <a:endParaRPr lang="en-US"/>
        </a:p>
      </dgm:t>
    </dgm:pt>
    <dgm:pt modelId="{DD11E6CD-EB7D-4CC7-811D-FE303817CF63}">
      <dgm:prSet phldrT="[Text]" custT="1"/>
      <dgm:spPr>
        <a:xfrm>
          <a:off x="599749" y="2050772"/>
          <a:ext cx="1366179" cy="1653795"/>
        </a:xfrm>
      </dgm:spPr>
      <dgm:t>
        <a:bodyPr/>
        <a:lstStyle/>
        <a:p>
          <a:r>
            <a:rPr lang="en-US" sz="1400" b="1">
              <a:latin typeface="Calibri"/>
              <a:ea typeface="+mn-ea"/>
              <a:cs typeface="+mn-cs"/>
            </a:rPr>
            <a:t>Institutional Architecture</a:t>
          </a:r>
          <a:r>
            <a:rPr lang="en-US" sz="1400">
              <a:latin typeface="Calibri"/>
              <a:ea typeface="+mn-ea"/>
              <a:cs typeface="+mn-cs"/>
            </a:rPr>
            <a:t>  </a:t>
          </a:r>
          <a:r>
            <a:rPr lang="en-US" sz="1200">
              <a:latin typeface="Calibri"/>
              <a:ea typeface="+mn-ea"/>
              <a:cs typeface="+mn-cs"/>
            </a:rPr>
            <a:t>     </a:t>
          </a:r>
        </a:p>
      </dgm:t>
    </dgm:pt>
    <dgm:pt modelId="{FD9668B4-66F2-4CE5-B94B-9B8D7F40E0A1}" type="parTrans" cxnId="{63105ABC-0014-4524-B39B-EBAA3D72F61D}">
      <dgm:prSet/>
      <dgm:spPr>
        <a:xfrm rot="9553932">
          <a:off x="1960343" y="2588146"/>
          <a:ext cx="171933" cy="0"/>
        </a:xfrm>
      </dgm:spPr>
      <dgm:t>
        <a:bodyPr/>
        <a:lstStyle/>
        <a:p>
          <a:endParaRPr lang="en-US"/>
        </a:p>
      </dgm:t>
    </dgm:pt>
    <dgm:pt modelId="{55CF160D-E08A-412F-9B3F-AF8868DD7713}" type="sibTrans" cxnId="{63105ABC-0014-4524-B39B-EBAA3D72F61D}">
      <dgm:prSet/>
      <dgm:spPr/>
      <dgm:t>
        <a:bodyPr/>
        <a:lstStyle/>
        <a:p>
          <a:endParaRPr lang="en-US"/>
        </a:p>
      </dgm:t>
    </dgm:pt>
    <dgm:pt modelId="{2919660F-568A-4442-8A0D-42CAC289D568}">
      <dgm:prSet phldrT="[Text]"/>
      <dgm:spPr/>
      <dgm:t>
        <a:bodyPr/>
        <a:lstStyle/>
        <a:p>
          <a:endParaRPr lang="en-US"/>
        </a:p>
      </dgm:t>
    </dgm:pt>
    <dgm:pt modelId="{63176512-60E5-4296-897B-3CDEF6673068}" type="parTrans" cxnId="{B018B088-2468-4D97-91AC-1EFB643EC4DD}">
      <dgm:prSet/>
      <dgm:spPr/>
      <dgm:t>
        <a:bodyPr/>
        <a:lstStyle/>
        <a:p>
          <a:endParaRPr lang="en-US"/>
        </a:p>
      </dgm:t>
    </dgm:pt>
    <dgm:pt modelId="{FEC7E247-F8D7-4E09-819A-990D0CF98F83}" type="sibTrans" cxnId="{B018B088-2468-4D97-91AC-1EFB643EC4DD}">
      <dgm:prSet/>
      <dgm:spPr/>
      <dgm:t>
        <a:bodyPr/>
        <a:lstStyle/>
        <a:p>
          <a:endParaRPr lang="en-US"/>
        </a:p>
      </dgm:t>
    </dgm:pt>
    <dgm:pt modelId="{5888F8A2-4529-4255-A3A0-F496EB05D51B}">
      <dgm:prSet custT="1"/>
      <dgm:spPr/>
      <dgm:t>
        <a:bodyPr/>
        <a:lstStyle/>
        <a:p>
          <a:endParaRPr lang="en-US"/>
        </a:p>
      </dgm:t>
    </dgm:pt>
    <dgm:pt modelId="{6F9CA4A3-08C0-4FB8-94C8-588331517E9C}" type="parTrans" cxnId="{82373C6A-E25A-4237-B154-8AD7D0B8E9C2}">
      <dgm:prSet/>
      <dgm:spPr/>
      <dgm:t>
        <a:bodyPr/>
        <a:lstStyle/>
        <a:p>
          <a:endParaRPr lang="en-US"/>
        </a:p>
      </dgm:t>
    </dgm:pt>
    <dgm:pt modelId="{F964784F-4BD7-49C7-A5A0-9BDC8498542F}" type="sibTrans" cxnId="{82373C6A-E25A-4237-B154-8AD7D0B8E9C2}">
      <dgm:prSet/>
      <dgm:spPr/>
      <dgm:t>
        <a:bodyPr/>
        <a:lstStyle/>
        <a:p>
          <a:endParaRPr lang="en-US"/>
        </a:p>
      </dgm:t>
    </dgm:pt>
    <dgm:pt modelId="{81358D93-B5A0-42E2-A110-6A7AA6237714}">
      <dgm:prSet/>
      <dgm:spPr/>
      <dgm:t>
        <a:bodyPr/>
        <a:lstStyle/>
        <a:p>
          <a:endParaRPr lang="en-US"/>
        </a:p>
      </dgm:t>
    </dgm:pt>
    <dgm:pt modelId="{DCBE4AB9-3845-44BE-8034-97D21977171C}" type="parTrans" cxnId="{D8542300-59C6-4651-875B-2C06940F7EEF}">
      <dgm:prSet/>
      <dgm:spPr/>
      <dgm:t>
        <a:bodyPr/>
        <a:lstStyle/>
        <a:p>
          <a:endParaRPr lang="en-US"/>
        </a:p>
      </dgm:t>
    </dgm:pt>
    <dgm:pt modelId="{2FDC1DF2-7199-43E4-8066-0DE6D0F389E2}" type="sibTrans" cxnId="{D8542300-59C6-4651-875B-2C06940F7EEF}">
      <dgm:prSet/>
      <dgm:spPr/>
      <dgm:t>
        <a:bodyPr/>
        <a:lstStyle/>
        <a:p>
          <a:endParaRPr lang="en-US"/>
        </a:p>
      </dgm:t>
    </dgm:pt>
    <dgm:pt modelId="{06A114F9-FA89-4CF3-808D-DCBF3BDD7CB9}">
      <dgm:prSet/>
      <dgm:spPr/>
      <dgm:t>
        <a:bodyPr/>
        <a:lstStyle/>
        <a:p>
          <a:endParaRPr lang="en-US">
            <a:solidFill>
              <a:schemeClr val="tx1"/>
            </a:solidFill>
          </a:endParaRPr>
        </a:p>
      </dgm:t>
    </dgm:pt>
    <dgm:pt modelId="{69556EDD-D6F8-4E13-BC21-EA2DD4AA30CF}" type="parTrans" cxnId="{CE0BEF46-4F09-4C31-A28C-A2184BB78CD0}">
      <dgm:prSet/>
      <dgm:spPr/>
      <dgm:t>
        <a:bodyPr/>
        <a:lstStyle/>
        <a:p>
          <a:endParaRPr lang="en-US"/>
        </a:p>
      </dgm:t>
    </dgm:pt>
    <dgm:pt modelId="{F62D33C5-F56B-482F-A275-94E78F72D876}" type="sibTrans" cxnId="{CE0BEF46-4F09-4C31-A28C-A2184BB78CD0}">
      <dgm:prSet/>
      <dgm:spPr/>
      <dgm:t>
        <a:bodyPr/>
        <a:lstStyle/>
        <a:p>
          <a:endParaRPr lang="en-US"/>
        </a:p>
      </dgm:t>
    </dgm:pt>
    <dgm:pt modelId="{DC6607AC-E717-4B2C-B502-BB82372C8979}">
      <dgm:prSet/>
      <dgm:spPr/>
      <dgm:t>
        <a:bodyPr/>
        <a:lstStyle/>
        <a:p>
          <a:endParaRPr lang="en-US">
            <a:solidFill>
              <a:schemeClr val="tx1"/>
            </a:solidFill>
          </a:endParaRPr>
        </a:p>
      </dgm:t>
    </dgm:pt>
    <dgm:pt modelId="{213859A3-440F-4842-8004-7B84B5F48538}" type="parTrans" cxnId="{808000D3-F09E-426C-AA75-C7776693F49A}">
      <dgm:prSet/>
      <dgm:spPr/>
      <dgm:t>
        <a:bodyPr/>
        <a:lstStyle/>
        <a:p>
          <a:endParaRPr lang="en-US"/>
        </a:p>
      </dgm:t>
    </dgm:pt>
    <dgm:pt modelId="{A339284B-3EC0-4C3E-9B11-A07F242D7DFB}" type="sibTrans" cxnId="{808000D3-F09E-426C-AA75-C7776693F49A}">
      <dgm:prSet/>
      <dgm:spPr/>
      <dgm:t>
        <a:bodyPr/>
        <a:lstStyle/>
        <a:p>
          <a:endParaRPr lang="en-US"/>
        </a:p>
      </dgm:t>
    </dgm:pt>
    <dgm:pt modelId="{A0A2C799-C45C-489F-9F80-532445FDB25B}">
      <dgm:prSet/>
      <dgm:spPr/>
      <dgm:t>
        <a:bodyPr/>
        <a:lstStyle/>
        <a:p>
          <a:endParaRPr lang="en-US"/>
        </a:p>
      </dgm:t>
    </dgm:pt>
    <dgm:pt modelId="{C806D63B-0E1F-49BB-9D1C-0B2CD1839FFB}" type="parTrans" cxnId="{91FDFA00-78B4-4F09-9C42-2CD04B23CB0D}">
      <dgm:prSet/>
      <dgm:spPr/>
      <dgm:t>
        <a:bodyPr/>
        <a:lstStyle/>
        <a:p>
          <a:endParaRPr lang="en-US"/>
        </a:p>
      </dgm:t>
    </dgm:pt>
    <dgm:pt modelId="{D07A8228-4282-4ACF-B77C-D17F2D6CA8FB}" type="sibTrans" cxnId="{91FDFA00-78B4-4F09-9C42-2CD04B23CB0D}">
      <dgm:prSet/>
      <dgm:spPr/>
      <dgm:t>
        <a:bodyPr/>
        <a:lstStyle/>
        <a:p>
          <a:endParaRPr lang="en-US"/>
        </a:p>
      </dgm:t>
    </dgm:pt>
    <dgm:pt modelId="{DED328B4-215E-49DB-85FD-C7DE6C6B28F5}">
      <dgm:prSet phldrT="[Text]" custT="1"/>
      <dgm:spPr/>
      <dgm:t>
        <a:bodyPr/>
        <a:lstStyle/>
        <a:p>
          <a:endParaRPr lang="en-US"/>
        </a:p>
      </dgm:t>
    </dgm:pt>
    <dgm:pt modelId="{4E6D0CCF-41FF-44B5-9A25-DE7E507440BA}" type="parTrans" cxnId="{4A6D0B93-128E-4EFA-A9BA-21ECB7C9EC8A}">
      <dgm:prSet/>
      <dgm:spPr/>
      <dgm:t>
        <a:bodyPr/>
        <a:lstStyle/>
        <a:p>
          <a:endParaRPr lang="en-US"/>
        </a:p>
      </dgm:t>
    </dgm:pt>
    <dgm:pt modelId="{51638ED8-BA0E-41F9-A067-D0534F641D9F}" type="sibTrans" cxnId="{4A6D0B93-128E-4EFA-A9BA-21ECB7C9EC8A}">
      <dgm:prSet/>
      <dgm:spPr/>
      <dgm:t>
        <a:bodyPr/>
        <a:lstStyle/>
        <a:p>
          <a:endParaRPr lang="en-US"/>
        </a:p>
      </dgm:t>
    </dgm:pt>
    <dgm:pt modelId="{98142438-2CC5-40D5-9FA3-92B55F4E1212}">
      <dgm:prSet/>
      <dgm:spPr/>
      <dgm:t>
        <a:bodyPr/>
        <a:lstStyle/>
        <a:p>
          <a:endParaRPr lang="en-US"/>
        </a:p>
      </dgm:t>
    </dgm:pt>
    <dgm:pt modelId="{7650B586-4129-4211-9D3D-F621D21F7F6C}" type="parTrans" cxnId="{D7306D39-083E-4967-BE9B-5FB7D96CF999}">
      <dgm:prSet/>
      <dgm:spPr/>
      <dgm:t>
        <a:bodyPr/>
        <a:lstStyle/>
        <a:p>
          <a:endParaRPr lang="en-US"/>
        </a:p>
      </dgm:t>
    </dgm:pt>
    <dgm:pt modelId="{0E95D169-8B6C-460C-A0DA-9A8249E639AE}" type="sibTrans" cxnId="{D7306D39-083E-4967-BE9B-5FB7D96CF999}">
      <dgm:prSet/>
      <dgm:spPr/>
      <dgm:t>
        <a:bodyPr/>
        <a:lstStyle/>
        <a:p>
          <a:endParaRPr lang="en-US"/>
        </a:p>
      </dgm:t>
    </dgm:pt>
    <dgm:pt modelId="{9CC6F065-4DF5-40A0-B79F-A5D321B306C3}">
      <dgm:prSet phldrT="[Text]" custT="1"/>
      <dgm:spPr>
        <a:xfrm>
          <a:off x="3423446" y="2087216"/>
          <a:ext cx="1483351" cy="1653795"/>
        </a:xfrm>
      </dgm:spPr>
      <dgm:t>
        <a:bodyPr/>
        <a:lstStyle/>
        <a:p>
          <a:r>
            <a:rPr lang="en-US" sz="1400" b="1">
              <a:latin typeface="Calibri"/>
              <a:ea typeface="+mn-ea"/>
              <a:cs typeface="+mn-cs"/>
            </a:rPr>
            <a:t>Mutual Accountability</a:t>
          </a:r>
          <a:endParaRPr lang="en-US" sz="1400" b="0">
            <a:latin typeface="Calibri"/>
            <a:ea typeface="+mn-ea"/>
            <a:cs typeface="+mn-cs"/>
          </a:endParaRPr>
        </a:p>
      </dgm:t>
    </dgm:pt>
    <dgm:pt modelId="{1B3C5835-0263-4B31-9312-C2C35EF03F96}" type="parTrans" cxnId="{38D79AD0-7E78-4845-A6E3-EA845C555377}">
      <dgm:prSet/>
      <dgm:spPr>
        <a:xfrm rot="1305324">
          <a:off x="3296432" y="2593726"/>
          <a:ext cx="131704" cy="0"/>
        </a:xfrm>
      </dgm:spPr>
      <dgm:t>
        <a:bodyPr/>
        <a:lstStyle/>
        <a:p>
          <a:endParaRPr lang="en-US"/>
        </a:p>
      </dgm:t>
    </dgm:pt>
    <dgm:pt modelId="{E3C67EC8-C290-43C2-BD65-8098B616BA91}" type="sibTrans" cxnId="{38D79AD0-7E78-4845-A6E3-EA845C555377}">
      <dgm:prSet/>
      <dgm:spPr/>
      <dgm:t>
        <a:bodyPr/>
        <a:lstStyle/>
        <a:p>
          <a:endParaRPr lang="en-US"/>
        </a:p>
      </dgm:t>
    </dgm:pt>
    <dgm:pt modelId="{EA902A69-8726-43FB-B633-F6D9D8802062}" type="pres">
      <dgm:prSet presAssocID="{2291305E-827B-4164-84B9-37A1EA20B54C}" presName="Name0" presStyleCnt="0">
        <dgm:presLayoutVars>
          <dgm:chMax val="1"/>
          <dgm:chPref val="1"/>
          <dgm:dir/>
          <dgm:animOne val="branch"/>
          <dgm:animLvl val="lvl"/>
        </dgm:presLayoutVars>
      </dgm:prSet>
      <dgm:spPr/>
      <dgm:t>
        <a:bodyPr/>
        <a:lstStyle/>
        <a:p>
          <a:endParaRPr lang="en-US"/>
        </a:p>
      </dgm:t>
    </dgm:pt>
    <dgm:pt modelId="{490CAFC6-E742-4836-9703-9CAE49421349}" type="pres">
      <dgm:prSet presAssocID="{643E1C2B-270A-45A4-9344-12EFF9850E1C}" presName="singleCycle" presStyleCnt="0"/>
      <dgm:spPr/>
      <dgm:t>
        <a:bodyPr/>
        <a:lstStyle/>
        <a:p>
          <a:endParaRPr lang="en-US"/>
        </a:p>
      </dgm:t>
    </dgm:pt>
    <dgm:pt modelId="{7F183990-8557-4081-943E-183C6B067D35}" type="pres">
      <dgm:prSet presAssocID="{643E1C2B-270A-45A4-9344-12EFF9850E1C}" presName="singleCenter" presStyleLbl="node1" presStyleIdx="0" presStyleCnt="4">
        <dgm:presLayoutVars>
          <dgm:chMax val="7"/>
          <dgm:chPref val="7"/>
        </dgm:presLayoutVars>
      </dgm:prSet>
      <dgm:spPr>
        <a:prstGeom prst="roundRect">
          <a:avLst/>
        </a:prstGeom>
      </dgm:spPr>
      <dgm:t>
        <a:bodyPr/>
        <a:lstStyle/>
        <a:p>
          <a:endParaRPr lang="en-US"/>
        </a:p>
      </dgm:t>
    </dgm:pt>
    <dgm:pt modelId="{5A690A1A-D938-474A-AC93-7604654952ED}" type="pres">
      <dgm:prSet presAssocID="{8D096EAC-006D-4961-BFF6-27F13810D644}" presName="Name56" presStyleLbl="parChTrans1D2" presStyleIdx="0" presStyleCnt="3"/>
      <dgm:spPr>
        <a:custGeom>
          <a:avLst/>
          <a:gdLst/>
          <a:ahLst/>
          <a:cxnLst/>
          <a:rect l="0" t="0" r="0" b="0"/>
          <a:pathLst>
            <a:path>
              <a:moveTo>
                <a:pt x="0" y="0"/>
              </a:moveTo>
              <a:lnTo>
                <a:pt x="427408" y="0"/>
              </a:lnTo>
            </a:path>
          </a:pathLst>
        </a:custGeom>
      </dgm:spPr>
      <dgm:t>
        <a:bodyPr/>
        <a:lstStyle/>
        <a:p>
          <a:endParaRPr lang="en-US"/>
        </a:p>
      </dgm:t>
    </dgm:pt>
    <dgm:pt modelId="{3D631C85-6CCB-4BB4-B266-7EE85FCE698E}" type="pres">
      <dgm:prSet presAssocID="{7F9B8CB3-1087-4A57-ABA1-6D5EA1EEE863}" presName="text0" presStyleLbl="node1" presStyleIdx="1" presStyleCnt="4" custScaleX="203067" custScaleY="172798" custRadScaleRad="88869" custRadScaleInc="-594">
        <dgm:presLayoutVars>
          <dgm:bulletEnabled val="1"/>
        </dgm:presLayoutVars>
      </dgm:prSet>
      <dgm:spPr>
        <a:prstGeom prst="roundRect">
          <a:avLst/>
        </a:prstGeom>
      </dgm:spPr>
      <dgm:t>
        <a:bodyPr/>
        <a:lstStyle/>
        <a:p>
          <a:endParaRPr lang="en-US"/>
        </a:p>
      </dgm:t>
    </dgm:pt>
    <dgm:pt modelId="{983BAC06-4D56-4964-8B27-AA3745991031}" type="pres">
      <dgm:prSet presAssocID="{1B3C5835-0263-4B31-9312-C2C35EF03F96}" presName="Name56" presStyleLbl="parChTrans1D2" presStyleIdx="1" presStyleCnt="3"/>
      <dgm:spPr>
        <a:custGeom>
          <a:avLst/>
          <a:gdLst/>
          <a:ahLst/>
          <a:cxnLst/>
          <a:rect l="0" t="0" r="0" b="0"/>
          <a:pathLst>
            <a:path>
              <a:moveTo>
                <a:pt x="0" y="0"/>
              </a:moveTo>
              <a:lnTo>
                <a:pt x="248153" y="0"/>
              </a:lnTo>
            </a:path>
          </a:pathLst>
        </a:custGeom>
      </dgm:spPr>
      <dgm:t>
        <a:bodyPr/>
        <a:lstStyle/>
        <a:p>
          <a:endParaRPr lang="en-US"/>
        </a:p>
      </dgm:t>
    </dgm:pt>
    <dgm:pt modelId="{A39F7C4C-6F28-4548-848B-3E7E3C8E0DD7}" type="pres">
      <dgm:prSet presAssocID="{9CC6F065-4DF5-40A0-B79F-A5D321B306C3}" presName="text0" presStyleLbl="node1" presStyleIdx="2" presStyleCnt="4" custScaleX="188513" custScaleY="210174" custRadScaleRad="86591" custRadScaleInc="-13741">
        <dgm:presLayoutVars>
          <dgm:bulletEnabled val="1"/>
        </dgm:presLayoutVars>
      </dgm:prSet>
      <dgm:spPr>
        <a:prstGeom prst="roundRect">
          <a:avLst/>
        </a:prstGeom>
      </dgm:spPr>
      <dgm:t>
        <a:bodyPr/>
        <a:lstStyle/>
        <a:p>
          <a:endParaRPr lang="en-US"/>
        </a:p>
      </dgm:t>
    </dgm:pt>
    <dgm:pt modelId="{BBDC9D2F-8962-4EC6-A048-219499E14B81}" type="pres">
      <dgm:prSet presAssocID="{FD9668B4-66F2-4CE5-B94B-9B8D7F40E0A1}" presName="Name56" presStyleLbl="parChTrans1D2" presStyleIdx="2" presStyleCnt="3"/>
      <dgm:spPr>
        <a:custGeom>
          <a:avLst/>
          <a:gdLst/>
          <a:ahLst/>
          <a:cxnLst/>
          <a:rect l="0" t="0" r="0" b="0"/>
          <a:pathLst>
            <a:path>
              <a:moveTo>
                <a:pt x="0" y="0"/>
              </a:moveTo>
              <a:lnTo>
                <a:pt x="218367" y="0"/>
              </a:lnTo>
            </a:path>
          </a:pathLst>
        </a:custGeom>
      </dgm:spPr>
      <dgm:t>
        <a:bodyPr/>
        <a:lstStyle/>
        <a:p>
          <a:endParaRPr lang="en-US"/>
        </a:p>
      </dgm:t>
    </dgm:pt>
    <dgm:pt modelId="{9D433A47-F095-4A00-A564-4ACC5AEAA622}" type="pres">
      <dgm:prSet presAssocID="{DD11E6CD-EB7D-4CC7-811D-FE303817CF63}" presName="text0" presStyleLbl="node1" presStyleIdx="3" presStyleCnt="4" custScaleX="173622" custScaleY="210174" custRadScaleRad="84818" custRadScaleInc="15387">
        <dgm:presLayoutVars>
          <dgm:bulletEnabled val="1"/>
        </dgm:presLayoutVars>
      </dgm:prSet>
      <dgm:spPr>
        <a:prstGeom prst="roundRect">
          <a:avLst/>
        </a:prstGeom>
      </dgm:spPr>
      <dgm:t>
        <a:bodyPr/>
        <a:lstStyle/>
        <a:p>
          <a:endParaRPr lang="en-US"/>
        </a:p>
      </dgm:t>
    </dgm:pt>
  </dgm:ptLst>
  <dgm:cxnLst>
    <dgm:cxn modelId="{D8542300-59C6-4651-875B-2C06940F7EEF}" srcId="{06A114F9-FA89-4CF3-808D-DCBF3BDD7CB9}" destId="{81358D93-B5A0-42E2-A110-6A7AA6237714}" srcOrd="0" destOrd="0" parTransId="{DCBE4AB9-3845-44BE-8034-97D21977171C}" sibTransId="{2FDC1DF2-7199-43E4-8066-0DE6D0F389E2}"/>
    <dgm:cxn modelId="{808000D3-F09E-426C-AA75-C7776693F49A}" srcId="{2291305E-827B-4164-84B9-37A1EA20B54C}" destId="{DC6607AC-E717-4B2C-B502-BB82372C8979}" srcOrd="3" destOrd="0" parTransId="{213859A3-440F-4842-8004-7B84B5F48538}" sibTransId="{A339284B-3EC0-4C3E-9B11-A07F242D7DFB}"/>
    <dgm:cxn modelId="{ADA9816B-7D53-4352-8BCF-43C89D1CDD1F}" type="presOf" srcId="{7F9B8CB3-1087-4A57-ABA1-6D5EA1EEE863}" destId="{3D631C85-6CCB-4BB4-B266-7EE85FCE698E}" srcOrd="0" destOrd="0" presId="urn:microsoft.com/office/officeart/2008/layout/RadialCluster"/>
    <dgm:cxn modelId="{F8C9A78D-7F2B-4C11-BFFF-F09B529D503F}" type="presOf" srcId="{8D096EAC-006D-4961-BFF6-27F13810D644}" destId="{5A690A1A-D938-474A-AC93-7604654952ED}" srcOrd="0" destOrd="0" presId="urn:microsoft.com/office/officeart/2008/layout/RadialCluster"/>
    <dgm:cxn modelId="{0091B6DA-5000-417B-9456-F65D3B3C3F54}" type="presOf" srcId="{FD9668B4-66F2-4CE5-B94B-9B8D7F40E0A1}" destId="{BBDC9D2F-8962-4EC6-A048-219499E14B81}" srcOrd="0" destOrd="0" presId="urn:microsoft.com/office/officeart/2008/layout/RadialCluster"/>
    <dgm:cxn modelId="{CFBECE42-91DB-4D7D-95BF-11CC3542E5A1}" type="presOf" srcId="{1B3C5835-0263-4B31-9312-C2C35EF03F96}" destId="{983BAC06-4D56-4964-8B27-AA3745991031}" srcOrd="0" destOrd="0" presId="urn:microsoft.com/office/officeart/2008/layout/RadialCluster"/>
    <dgm:cxn modelId="{E90D1232-AFBB-4BBA-9C3C-11F9AE6D4BC7}" type="presOf" srcId="{643E1C2B-270A-45A4-9344-12EFF9850E1C}" destId="{7F183990-8557-4081-943E-183C6B067D35}" srcOrd="0" destOrd="0" presId="urn:microsoft.com/office/officeart/2008/layout/RadialCluster"/>
    <dgm:cxn modelId="{A2106DD3-9A05-4356-95A7-DD208D2BE77D}" type="presOf" srcId="{9CC6F065-4DF5-40A0-B79F-A5D321B306C3}" destId="{A39F7C4C-6F28-4548-848B-3E7E3C8E0DD7}" srcOrd="0" destOrd="0" presId="urn:microsoft.com/office/officeart/2008/layout/RadialCluster"/>
    <dgm:cxn modelId="{CE0BEF46-4F09-4C31-A28C-A2184BB78CD0}" srcId="{2291305E-827B-4164-84B9-37A1EA20B54C}" destId="{06A114F9-FA89-4CF3-808D-DCBF3BDD7CB9}" srcOrd="4" destOrd="0" parTransId="{69556EDD-D6F8-4E13-BC21-EA2DD4AA30CF}" sibTransId="{F62D33C5-F56B-482F-A275-94E78F72D876}"/>
    <dgm:cxn modelId="{63105ABC-0014-4524-B39B-EBAA3D72F61D}" srcId="{643E1C2B-270A-45A4-9344-12EFF9850E1C}" destId="{DD11E6CD-EB7D-4CC7-811D-FE303817CF63}" srcOrd="2" destOrd="0" parTransId="{FD9668B4-66F2-4CE5-B94B-9B8D7F40E0A1}" sibTransId="{55CF160D-E08A-412F-9B3F-AF8868DD7713}"/>
    <dgm:cxn modelId="{38D79AD0-7E78-4845-A6E3-EA845C555377}" srcId="{643E1C2B-270A-45A4-9344-12EFF9850E1C}" destId="{9CC6F065-4DF5-40A0-B79F-A5D321B306C3}" srcOrd="1" destOrd="0" parTransId="{1B3C5835-0263-4B31-9312-C2C35EF03F96}" sibTransId="{E3C67EC8-C290-43C2-BD65-8098B616BA91}"/>
    <dgm:cxn modelId="{4A6D0B93-128E-4EFA-A9BA-21ECB7C9EC8A}" srcId="{2291305E-827B-4164-84B9-37A1EA20B54C}" destId="{DED328B4-215E-49DB-85FD-C7DE6C6B28F5}" srcOrd="1" destOrd="0" parTransId="{4E6D0CCF-41FF-44B5-9A25-DE7E507440BA}" sibTransId="{51638ED8-BA0E-41F9-A067-D0534F641D9F}"/>
    <dgm:cxn modelId="{CF978934-16FB-4FC8-98B6-ED23B8E4C215}" srcId="{643E1C2B-270A-45A4-9344-12EFF9850E1C}" destId="{7F9B8CB3-1087-4A57-ABA1-6D5EA1EEE863}" srcOrd="0" destOrd="0" parTransId="{8D096EAC-006D-4961-BFF6-27F13810D644}" sibTransId="{EFAC624F-3F91-4A9C-BE5C-0410B917F7FB}"/>
    <dgm:cxn modelId="{B018B088-2468-4D97-91AC-1EFB643EC4DD}" srcId="{06A114F9-FA89-4CF3-808D-DCBF3BDD7CB9}" destId="{2919660F-568A-4442-8A0D-42CAC289D568}" srcOrd="1" destOrd="0" parTransId="{63176512-60E5-4296-897B-3CDEF6673068}" sibTransId="{FEC7E247-F8D7-4E09-819A-990D0CF98F83}"/>
    <dgm:cxn modelId="{82373C6A-E25A-4237-B154-8AD7D0B8E9C2}" srcId="{DC6607AC-E717-4B2C-B502-BB82372C8979}" destId="{5888F8A2-4529-4255-A3A0-F496EB05D51B}" srcOrd="1" destOrd="0" parTransId="{6F9CA4A3-08C0-4FB8-94C8-588331517E9C}" sibTransId="{F964784F-4BD7-49C7-A5A0-9BDC8498542F}"/>
    <dgm:cxn modelId="{D7306D39-083E-4967-BE9B-5FB7D96CF999}" srcId="{2291305E-827B-4164-84B9-37A1EA20B54C}" destId="{98142438-2CC5-40D5-9FA3-92B55F4E1212}" srcOrd="2" destOrd="0" parTransId="{7650B586-4129-4211-9D3D-F621D21F7F6C}" sibTransId="{0E95D169-8B6C-460C-A0DA-9A8249E639AE}"/>
    <dgm:cxn modelId="{2D381A31-67F8-4485-A802-6A18EBB44713}" type="presOf" srcId="{2291305E-827B-4164-84B9-37A1EA20B54C}" destId="{EA902A69-8726-43FB-B633-F6D9D8802062}" srcOrd="0" destOrd="0" presId="urn:microsoft.com/office/officeart/2008/layout/RadialCluster"/>
    <dgm:cxn modelId="{BE5B2E51-B44D-408B-8EB8-4642E0515645}" srcId="{2291305E-827B-4164-84B9-37A1EA20B54C}" destId="{643E1C2B-270A-45A4-9344-12EFF9850E1C}" srcOrd="0" destOrd="0" parTransId="{FA3F5E5E-E930-408C-9F2D-C1C5841751CF}" sibTransId="{8DD88C96-AE5B-4A92-9F48-E0E39D796EE2}"/>
    <dgm:cxn modelId="{D2446D1D-35AF-4326-9E41-58249968F0A3}" type="presOf" srcId="{DD11E6CD-EB7D-4CC7-811D-FE303817CF63}" destId="{9D433A47-F095-4A00-A564-4ACC5AEAA622}" srcOrd="0" destOrd="0" presId="urn:microsoft.com/office/officeart/2008/layout/RadialCluster"/>
    <dgm:cxn modelId="{91FDFA00-78B4-4F09-9C42-2CD04B23CB0D}" srcId="{DC6607AC-E717-4B2C-B502-BB82372C8979}" destId="{A0A2C799-C45C-489F-9F80-532445FDB25B}" srcOrd="0" destOrd="0" parTransId="{C806D63B-0E1F-49BB-9D1C-0B2CD1839FFB}" sibTransId="{D07A8228-4282-4ACF-B77C-D17F2D6CA8FB}"/>
    <dgm:cxn modelId="{3EFF58BD-54DE-4D24-B9C2-215DC042E334}" type="presParOf" srcId="{EA902A69-8726-43FB-B633-F6D9D8802062}" destId="{490CAFC6-E742-4836-9703-9CAE49421349}" srcOrd="0" destOrd="0" presId="urn:microsoft.com/office/officeart/2008/layout/RadialCluster"/>
    <dgm:cxn modelId="{A637C400-4518-4196-A64E-BAF43526A6F8}" type="presParOf" srcId="{490CAFC6-E742-4836-9703-9CAE49421349}" destId="{7F183990-8557-4081-943E-183C6B067D35}" srcOrd="0" destOrd="0" presId="urn:microsoft.com/office/officeart/2008/layout/RadialCluster"/>
    <dgm:cxn modelId="{955D7209-1A0B-49FF-9268-32CFE3E21F67}" type="presParOf" srcId="{490CAFC6-E742-4836-9703-9CAE49421349}" destId="{5A690A1A-D938-474A-AC93-7604654952ED}" srcOrd="1" destOrd="0" presId="urn:microsoft.com/office/officeart/2008/layout/RadialCluster"/>
    <dgm:cxn modelId="{4A699704-B6FC-4D56-93AE-4E1156315F4A}" type="presParOf" srcId="{490CAFC6-E742-4836-9703-9CAE49421349}" destId="{3D631C85-6CCB-4BB4-B266-7EE85FCE698E}" srcOrd="2" destOrd="0" presId="urn:microsoft.com/office/officeart/2008/layout/RadialCluster"/>
    <dgm:cxn modelId="{7A2264EF-2558-4784-B02A-E2D184A5F130}" type="presParOf" srcId="{490CAFC6-E742-4836-9703-9CAE49421349}" destId="{983BAC06-4D56-4964-8B27-AA3745991031}" srcOrd="3" destOrd="0" presId="urn:microsoft.com/office/officeart/2008/layout/RadialCluster"/>
    <dgm:cxn modelId="{909936FF-1103-4FE0-8C40-56E12CE225DB}" type="presParOf" srcId="{490CAFC6-E742-4836-9703-9CAE49421349}" destId="{A39F7C4C-6F28-4548-848B-3E7E3C8E0DD7}" srcOrd="4" destOrd="0" presId="urn:microsoft.com/office/officeart/2008/layout/RadialCluster"/>
    <dgm:cxn modelId="{CDB93E05-63BE-48D0-A9E0-24BEEE92206A}" type="presParOf" srcId="{490CAFC6-E742-4836-9703-9CAE49421349}" destId="{BBDC9D2F-8962-4EC6-A048-219499E14B81}" srcOrd="5" destOrd="0" presId="urn:microsoft.com/office/officeart/2008/layout/RadialCluster"/>
    <dgm:cxn modelId="{8AF86011-1FF0-47C9-9756-9DE72BC633D3}" type="presParOf" srcId="{490CAFC6-E742-4836-9703-9CAE49421349}" destId="{9D433A47-F095-4A00-A564-4ACC5AEAA622}" srcOrd="6"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183990-8557-4081-943E-183C6B067D35}">
      <dsp:nvSpPr>
        <dsp:cNvPr id="0" name=""/>
        <dsp:cNvSpPr/>
      </dsp:nvSpPr>
      <dsp:spPr>
        <a:xfrm>
          <a:off x="2126690" y="1747762"/>
          <a:ext cx="1174432" cy="1174432"/>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b="1" kern="1200">
              <a:latin typeface="Calibri"/>
              <a:ea typeface="+mn-ea"/>
              <a:cs typeface="+mn-cs"/>
            </a:rPr>
            <a:t>Directing Policy Towards Impact at Scale</a:t>
          </a:r>
        </a:p>
      </dsp:txBody>
      <dsp:txXfrm>
        <a:off x="2184021" y="1805093"/>
        <a:ext cx="1059770" cy="1059770"/>
      </dsp:txXfrm>
    </dsp:sp>
    <dsp:sp modelId="{5A690A1A-D938-474A-AC93-7604654952ED}">
      <dsp:nvSpPr>
        <dsp:cNvPr id="0" name=""/>
        <dsp:cNvSpPr/>
      </dsp:nvSpPr>
      <dsp:spPr>
        <a:xfrm rot="16178616">
          <a:off x="2540945" y="1579504"/>
          <a:ext cx="336523" cy="0"/>
        </a:xfrm>
        <a:custGeom>
          <a:avLst/>
          <a:gdLst/>
          <a:ahLst/>
          <a:cxnLst/>
          <a:rect l="0" t="0" r="0" b="0"/>
          <a:pathLst>
            <a:path>
              <a:moveTo>
                <a:pt x="0" y="0"/>
              </a:moveTo>
              <a:lnTo>
                <a:pt x="427408"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631C85-6CCB-4BB4-B266-7EE85FCE698E}">
      <dsp:nvSpPr>
        <dsp:cNvPr id="0" name=""/>
        <dsp:cNvSpPr/>
      </dsp:nvSpPr>
      <dsp:spPr>
        <a:xfrm>
          <a:off x="1904995" y="51551"/>
          <a:ext cx="1597872" cy="1359695"/>
        </a:xfrm>
        <a:prstGeom prst="roundRect">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lvl="0" algn="ctr" defTabSz="889000">
            <a:lnSpc>
              <a:spcPct val="100000"/>
            </a:lnSpc>
            <a:spcBef>
              <a:spcPct val="0"/>
            </a:spcBef>
            <a:spcAft>
              <a:spcPts val="0"/>
            </a:spcAft>
          </a:pPr>
          <a:r>
            <a:rPr lang="en-US" sz="2000" b="1" kern="1200">
              <a:latin typeface="Calibri"/>
              <a:ea typeface="+mn-ea"/>
              <a:cs typeface="+mn-cs"/>
            </a:rPr>
            <a:t>Policy </a:t>
          </a:r>
        </a:p>
        <a:p>
          <a:pPr lvl="0" algn="ctr" defTabSz="889000">
            <a:lnSpc>
              <a:spcPct val="90000"/>
            </a:lnSpc>
            <a:spcBef>
              <a:spcPct val="0"/>
            </a:spcBef>
            <a:spcAft>
              <a:spcPct val="35000"/>
            </a:spcAft>
          </a:pPr>
          <a:r>
            <a:rPr lang="en-US" sz="2000" b="1" kern="1200">
              <a:latin typeface="Calibri"/>
              <a:ea typeface="+mn-ea"/>
              <a:cs typeface="+mn-cs"/>
            </a:rPr>
            <a:t>Agenda</a:t>
          </a:r>
        </a:p>
      </dsp:txBody>
      <dsp:txXfrm>
        <a:off x="1971370" y="117926"/>
        <a:ext cx="1465122" cy="1226945"/>
      </dsp:txXfrm>
    </dsp:sp>
    <dsp:sp modelId="{983BAC06-4D56-4964-8B27-AA3745991031}">
      <dsp:nvSpPr>
        <dsp:cNvPr id="0" name=""/>
        <dsp:cNvSpPr/>
      </dsp:nvSpPr>
      <dsp:spPr>
        <a:xfrm rot="1305324">
          <a:off x="3296432" y="2593726"/>
          <a:ext cx="131704" cy="0"/>
        </a:xfrm>
        <a:custGeom>
          <a:avLst/>
          <a:gdLst/>
          <a:ahLst/>
          <a:cxnLst/>
          <a:rect l="0" t="0" r="0" b="0"/>
          <a:pathLst>
            <a:path>
              <a:moveTo>
                <a:pt x="0" y="0"/>
              </a:moveTo>
              <a:lnTo>
                <a:pt x="248153"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9F7C4C-6F28-4548-848B-3E7E3C8E0DD7}">
      <dsp:nvSpPr>
        <dsp:cNvPr id="0" name=""/>
        <dsp:cNvSpPr/>
      </dsp:nvSpPr>
      <dsp:spPr>
        <a:xfrm>
          <a:off x="3423446" y="2087216"/>
          <a:ext cx="1483351" cy="1653795"/>
        </a:xfrm>
        <a:prstGeom prst="roundRect">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b="1" kern="1200">
              <a:latin typeface="Calibri"/>
              <a:ea typeface="+mn-ea"/>
              <a:cs typeface="+mn-cs"/>
            </a:rPr>
            <a:t>Mutual Accountability</a:t>
          </a:r>
          <a:endParaRPr lang="en-US" sz="1400" b="0" kern="1200">
            <a:latin typeface="Calibri"/>
            <a:ea typeface="+mn-ea"/>
            <a:cs typeface="+mn-cs"/>
          </a:endParaRPr>
        </a:p>
      </dsp:txBody>
      <dsp:txXfrm>
        <a:off x="3495857" y="2159627"/>
        <a:ext cx="1338529" cy="1508973"/>
      </dsp:txXfrm>
    </dsp:sp>
    <dsp:sp modelId="{BBDC9D2F-8962-4EC6-A048-219499E14B81}">
      <dsp:nvSpPr>
        <dsp:cNvPr id="0" name=""/>
        <dsp:cNvSpPr/>
      </dsp:nvSpPr>
      <dsp:spPr>
        <a:xfrm rot="9553932">
          <a:off x="1960343" y="2588146"/>
          <a:ext cx="171933" cy="0"/>
        </a:xfrm>
        <a:custGeom>
          <a:avLst/>
          <a:gdLst/>
          <a:ahLst/>
          <a:cxnLst/>
          <a:rect l="0" t="0" r="0" b="0"/>
          <a:pathLst>
            <a:path>
              <a:moveTo>
                <a:pt x="0" y="0"/>
              </a:moveTo>
              <a:lnTo>
                <a:pt x="218367"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433A47-F095-4A00-A564-4ACC5AEAA622}">
      <dsp:nvSpPr>
        <dsp:cNvPr id="0" name=""/>
        <dsp:cNvSpPr/>
      </dsp:nvSpPr>
      <dsp:spPr>
        <a:xfrm>
          <a:off x="599749" y="2050772"/>
          <a:ext cx="1366179" cy="1653795"/>
        </a:xfrm>
        <a:prstGeom prst="roundRec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b="1" kern="1200">
              <a:latin typeface="Calibri"/>
              <a:ea typeface="+mn-ea"/>
              <a:cs typeface="+mn-cs"/>
            </a:rPr>
            <a:t>Institutional Architecture</a:t>
          </a:r>
          <a:r>
            <a:rPr lang="en-US" sz="1400" kern="1200">
              <a:latin typeface="Calibri"/>
              <a:ea typeface="+mn-ea"/>
              <a:cs typeface="+mn-cs"/>
            </a:rPr>
            <a:t>  </a:t>
          </a:r>
          <a:r>
            <a:rPr lang="en-US" sz="1200" kern="1200">
              <a:latin typeface="Calibri"/>
              <a:ea typeface="+mn-ea"/>
              <a:cs typeface="+mn-cs"/>
            </a:rPr>
            <a:t>     </a:t>
          </a:r>
        </a:p>
      </dsp:txBody>
      <dsp:txXfrm>
        <a:off x="666440" y="2117463"/>
        <a:ext cx="1232797" cy="1520413"/>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F3362-6D6E-4A61-9C13-150DEEAE041D}">
  <ds:schemaRefs>
    <ds:schemaRef ds:uri="http://schemas.openxmlformats.org/officeDocument/2006/bibliography"/>
  </ds:schemaRefs>
</ds:datastoreItem>
</file>

<file path=customXml/itemProps2.xml><?xml version="1.0" encoding="utf-8"?>
<ds:datastoreItem xmlns:ds="http://schemas.openxmlformats.org/officeDocument/2006/customXml" ds:itemID="{C1B8FCBB-172C-4353-902F-40C1F1AA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Cougill, Wynne</dc:creator>
  <cp:lastModifiedBy>USAID</cp:lastModifiedBy>
  <cp:revision>2</cp:revision>
  <cp:lastPrinted>2013-05-08T16:44:00Z</cp:lastPrinted>
  <dcterms:created xsi:type="dcterms:W3CDTF">2013-05-08T20:08:00Z</dcterms:created>
  <dcterms:modified xsi:type="dcterms:W3CDTF">2013-05-08T20:08:00Z</dcterms:modified>
</cp:coreProperties>
</file>